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15B9C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2"/>
          <w:szCs w:val="40"/>
          <w:lang w:eastAsia="zh-CN"/>
        </w:rPr>
      </w:pPr>
      <w:r>
        <w:rPr>
          <w:rFonts w:hint="eastAsia" w:ascii="宋体" w:hAnsi="宋体" w:eastAsia="宋体" w:cs="宋体"/>
          <w:b/>
          <w:bCs/>
          <w:sz w:val="32"/>
          <w:szCs w:val="40"/>
          <w:lang w:eastAsia="zh-CN"/>
        </w:rPr>
        <w:t>三明城发物业有限公司</w:t>
      </w:r>
      <w:r>
        <w:rPr>
          <w:rFonts w:hint="eastAsia" w:ascii="宋体" w:hAnsi="宋体" w:eastAsia="宋体" w:cs="宋体"/>
          <w:b/>
          <w:bCs/>
          <w:sz w:val="32"/>
          <w:szCs w:val="40"/>
          <w:lang w:val="en-US" w:eastAsia="zh-CN"/>
        </w:rPr>
        <w:t>各项目停车场</w:t>
      </w:r>
      <w:r>
        <w:rPr>
          <w:rFonts w:hint="eastAsia" w:ascii="宋体" w:hAnsi="宋体" w:eastAsia="宋体" w:cs="宋体"/>
          <w:b/>
          <w:bCs/>
          <w:sz w:val="32"/>
          <w:szCs w:val="40"/>
          <w:lang w:eastAsia="zh-CN"/>
        </w:rPr>
        <w:t>出入口道闸</w:t>
      </w:r>
    </w:p>
    <w:p w14:paraId="4267751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32"/>
          <w:lang w:eastAsia="zh-CN"/>
        </w:rPr>
      </w:pPr>
      <w:r>
        <w:rPr>
          <w:rFonts w:hint="eastAsia" w:ascii="宋体" w:hAnsi="宋体" w:eastAsia="宋体" w:cs="宋体"/>
          <w:b/>
          <w:bCs/>
          <w:sz w:val="32"/>
          <w:szCs w:val="40"/>
          <w:lang w:eastAsia="zh-CN"/>
        </w:rPr>
        <w:t>广告位租赁比选公告</w:t>
      </w:r>
    </w:p>
    <w:p w14:paraId="33030F0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一、比选项目概况</w:t>
      </w:r>
    </w:p>
    <w:p w14:paraId="7946549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lang w:eastAsia="zh-CN"/>
        </w:rPr>
      </w:pPr>
      <w:r>
        <w:rPr>
          <w:rFonts w:hint="eastAsia" w:ascii="宋体" w:hAnsi="宋体" w:eastAsia="宋体" w:cs="宋体"/>
          <w:sz w:val="24"/>
          <w:szCs w:val="32"/>
        </w:rPr>
        <w:t>1．比选项目名称：</w:t>
      </w:r>
      <w:r>
        <w:rPr>
          <w:rFonts w:hint="eastAsia" w:ascii="宋体" w:hAnsi="宋体" w:eastAsia="宋体" w:cs="宋体"/>
          <w:sz w:val="24"/>
          <w:szCs w:val="32"/>
          <w:lang w:eastAsia="zh-CN"/>
        </w:rPr>
        <w:t>三明城发物业有限公司</w:t>
      </w:r>
      <w:r>
        <w:rPr>
          <w:rFonts w:hint="eastAsia" w:ascii="宋体" w:hAnsi="宋体" w:eastAsia="宋体" w:cs="宋体"/>
          <w:sz w:val="24"/>
          <w:szCs w:val="32"/>
          <w:lang w:val="en-US" w:eastAsia="zh-CN"/>
        </w:rPr>
        <w:t>各项目停车场</w:t>
      </w:r>
      <w:r>
        <w:rPr>
          <w:rFonts w:hint="eastAsia" w:ascii="宋体" w:hAnsi="宋体" w:eastAsia="宋体" w:cs="宋体"/>
          <w:sz w:val="24"/>
          <w:szCs w:val="32"/>
          <w:lang w:eastAsia="zh-CN"/>
        </w:rPr>
        <w:t>出入口道闸广告位租赁</w:t>
      </w:r>
    </w:p>
    <w:p w14:paraId="49BAED4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2．比选人名称：三明城发物业有限公司</w:t>
      </w:r>
    </w:p>
    <w:p w14:paraId="5604087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sz w:val="24"/>
          <w:szCs w:val="32"/>
          <w:lang w:val="en-US" w:eastAsia="zh-CN"/>
        </w:rPr>
      </w:pPr>
      <w:r>
        <w:rPr>
          <w:rFonts w:hint="eastAsia" w:ascii="宋体" w:hAnsi="宋体" w:eastAsia="宋体" w:cs="宋体"/>
          <w:sz w:val="24"/>
          <w:szCs w:val="32"/>
        </w:rPr>
        <w:t>3．项目地址：</w:t>
      </w:r>
      <w:r>
        <w:rPr>
          <w:rFonts w:hint="eastAsia" w:ascii="宋体" w:hAnsi="宋体" w:eastAsia="宋体" w:cs="宋体"/>
          <w:sz w:val="24"/>
          <w:szCs w:val="32"/>
          <w:lang w:val="en-US" w:eastAsia="zh-CN"/>
        </w:rPr>
        <w:t>城发物业各项目</w:t>
      </w:r>
    </w:p>
    <w:p w14:paraId="2BA6C46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4．合同期限：自合同签订之日起</w:t>
      </w:r>
      <w:r>
        <w:rPr>
          <w:rFonts w:hint="eastAsia" w:ascii="宋体" w:hAnsi="宋体" w:eastAsia="宋体" w:cs="宋体"/>
          <w:sz w:val="24"/>
          <w:szCs w:val="32"/>
          <w:lang w:val="en-US" w:eastAsia="zh-CN"/>
        </w:rPr>
        <w:t>1</w:t>
      </w:r>
      <w:r>
        <w:rPr>
          <w:rFonts w:hint="eastAsia" w:ascii="宋体" w:hAnsi="宋体" w:eastAsia="宋体" w:cs="宋体"/>
          <w:sz w:val="24"/>
          <w:szCs w:val="32"/>
        </w:rPr>
        <w:t>年</w:t>
      </w:r>
    </w:p>
    <w:p w14:paraId="0AE6DDE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二、比选服务内容</w:t>
      </w:r>
    </w:p>
    <w:p w14:paraId="27B6229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本比选项目服务内容为</w:t>
      </w:r>
      <w:r>
        <w:rPr>
          <w:rFonts w:hint="eastAsia" w:ascii="宋体" w:hAnsi="宋体" w:eastAsia="宋体" w:cs="宋体"/>
          <w:sz w:val="24"/>
          <w:szCs w:val="32"/>
          <w:lang w:val="en-US" w:eastAsia="zh-CN"/>
        </w:rPr>
        <w:t>城发物业各项目停车场</w:t>
      </w:r>
      <w:r>
        <w:rPr>
          <w:rFonts w:hint="eastAsia" w:ascii="宋体" w:hAnsi="宋体" w:eastAsia="宋体" w:cs="宋体"/>
          <w:sz w:val="24"/>
          <w:szCs w:val="32"/>
          <w:lang w:eastAsia="zh-CN"/>
        </w:rPr>
        <w:t>出入口道闸</w:t>
      </w:r>
      <w:r>
        <w:rPr>
          <w:rFonts w:hint="eastAsia" w:ascii="宋体" w:hAnsi="宋体" w:eastAsia="宋体" w:cs="宋体"/>
          <w:sz w:val="24"/>
          <w:szCs w:val="32"/>
          <w:lang w:val="en-US" w:eastAsia="zh-CN"/>
        </w:rPr>
        <w:t>广告位租赁</w:t>
      </w:r>
      <w:r>
        <w:rPr>
          <w:rFonts w:hint="eastAsia" w:ascii="宋体" w:hAnsi="宋体" w:eastAsia="宋体" w:cs="宋体"/>
          <w:sz w:val="24"/>
          <w:szCs w:val="32"/>
        </w:rPr>
        <w:t>。</w:t>
      </w:r>
    </w:p>
    <w:p w14:paraId="194C6EE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三、服务费用</w:t>
      </w:r>
    </w:p>
    <w:p w14:paraId="1BE99C1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1．本项目含税最低限价为</w:t>
      </w:r>
      <w:r>
        <w:rPr>
          <w:rFonts w:hint="eastAsia" w:ascii="宋体" w:hAnsi="宋体" w:eastAsia="宋体" w:cs="宋体"/>
          <w:sz w:val="24"/>
          <w:szCs w:val="32"/>
          <w:lang w:val="en-US" w:eastAsia="zh-CN"/>
        </w:rPr>
        <w:t>19950元</w:t>
      </w:r>
      <w:r>
        <w:rPr>
          <w:rFonts w:hint="eastAsia" w:ascii="宋体" w:hAnsi="宋体" w:eastAsia="宋体" w:cs="宋体"/>
          <w:sz w:val="24"/>
          <w:szCs w:val="32"/>
        </w:rPr>
        <w:t>/年，</w:t>
      </w:r>
      <w:r>
        <w:rPr>
          <w:rFonts w:hint="eastAsia" w:ascii="宋体" w:hAnsi="宋体" w:eastAsia="宋体" w:cs="宋体"/>
          <w:color w:val="000000" w:themeColor="text1"/>
          <w:sz w:val="24"/>
          <w:szCs w:val="32"/>
          <w14:textFill>
            <w14:solidFill>
              <w14:schemeClr w14:val="tx1"/>
            </w14:solidFill>
          </w14:textFill>
        </w:rPr>
        <w:t>税率为</w:t>
      </w:r>
      <w:r>
        <w:rPr>
          <w:rFonts w:hint="eastAsia" w:ascii="宋体" w:hAnsi="宋体" w:eastAsia="宋体" w:cs="宋体"/>
          <w:color w:val="000000" w:themeColor="text1"/>
          <w:sz w:val="24"/>
          <w:szCs w:val="32"/>
          <w:lang w:val="en-US" w:eastAsia="zh-CN"/>
          <w14:textFill>
            <w14:solidFill>
              <w14:schemeClr w14:val="tx1"/>
            </w14:solidFill>
          </w14:textFill>
        </w:rPr>
        <w:t>9</w:t>
      </w:r>
      <w:r>
        <w:rPr>
          <w:rFonts w:hint="eastAsia" w:ascii="宋体" w:hAnsi="宋体" w:eastAsia="宋体" w:cs="宋体"/>
          <w:color w:val="000000" w:themeColor="text1"/>
          <w:sz w:val="24"/>
          <w:szCs w:val="32"/>
          <w14:textFill>
            <w14:solidFill>
              <w14:schemeClr w14:val="tx1"/>
            </w14:solidFill>
          </w14:textFill>
        </w:rPr>
        <w:t>%。</w:t>
      </w:r>
    </w:p>
    <w:p w14:paraId="22B8EA3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themeColor="text1"/>
          <w:sz w:val="24"/>
          <w:szCs w:val="32"/>
          <w14:textFill>
            <w14:solidFill>
              <w14:schemeClr w14:val="tx1"/>
            </w14:solidFill>
          </w14:textFill>
        </w:rPr>
      </w:pPr>
      <w:r>
        <w:rPr>
          <w:rFonts w:hint="eastAsia" w:ascii="宋体" w:hAnsi="宋体" w:eastAsia="宋体" w:cs="宋体"/>
          <w:color w:val="000000" w:themeColor="text1"/>
          <w:sz w:val="24"/>
          <w:szCs w:val="32"/>
          <w14:textFill>
            <w14:solidFill>
              <w14:schemeClr w14:val="tx1"/>
            </w14:solidFill>
          </w14:textFill>
        </w:rPr>
        <w:t>2．本次比选采用竞价择优中选法，比选申请人直接填报含税年租金报价金额（人民币，元），报价金额须为整数，且不得低于最低限价，否则报价无效。</w:t>
      </w:r>
    </w:p>
    <w:p w14:paraId="015602D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四、比选申请人的资格条件</w:t>
      </w:r>
    </w:p>
    <w:p w14:paraId="59D5AEB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1．比选申请人应具有独立法人资格，并具有相应经营范围的企业。</w:t>
      </w:r>
    </w:p>
    <w:p w14:paraId="105E4C7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2</w:t>
      </w:r>
      <w:r>
        <w:rPr>
          <w:rFonts w:hint="eastAsia" w:ascii="宋体" w:hAnsi="宋体" w:eastAsia="宋体" w:cs="宋体"/>
          <w:sz w:val="24"/>
          <w:szCs w:val="32"/>
        </w:rPr>
        <w:t>．比选申请人及其现任法定代表人未被列入全国失信被执行人名单。</w:t>
      </w:r>
    </w:p>
    <w:p w14:paraId="7E03BA5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3</w:t>
      </w:r>
      <w:r>
        <w:rPr>
          <w:rFonts w:hint="eastAsia" w:ascii="宋体" w:hAnsi="宋体" w:eastAsia="宋体" w:cs="宋体"/>
          <w:sz w:val="24"/>
          <w:szCs w:val="32"/>
        </w:rPr>
        <w:t>．比选申请人及其拟派出的人员未被依法禁止投标、未存在财产被冻结或接管的情况或处于从业限制期限内。</w:t>
      </w:r>
    </w:p>
    <w:p w14:paraId="4F67EE4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※根据上述资格要求，比选申请文件中应提交的证明文件详见附件：比选申请文件格式。有意参加比选的企业须根据本比选公告规定的方式、时间和地点提交比选申请文件。</w:t>
      </w:r>
    </w:p>
    <w:p w14:paraId="1138363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五、比选活动的时间、地点和联系方式</w:t>
      </w:r>
    </w:p>
    <w:p w14:paraId="41C298A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FF0000"/>
          <w:sz w:val="24"/>
          <w:szCs w:val="32"/>
        </w:rPr>
      </w:pPr>
      <w:r>
        <w:rPr>
          <w:rFonts w:hint="eastAsia" w:ascii="宋体" w:hAnsi="宋体" w:eastAsia="宋体" w:cs="宋体"/>
          <w:sz w:val="24"/>
          <w:szCs w:val="32"/>
        </w:rPr>
        <w:t>1．比选时间：</w:t>
      </w:r>
      <w:r>
        <w:rPr>
          <w:rFonts w:hint="eastAsia" w:ascii="宋体" w:hAnsi="宋体" w:eastAsia="宋体" w:cs="宋体"/>
          <w:color w:val="auto"/>
          <w:sz w:val="24"/>
          <w:szCs w:val="32"/>
          <w:highlight w:val="none"/>
          <w:lang w:val="en-US" w:eastAsia="zh-CN"/>
        </w:rPr>
        <w:t>2026</w:t>
      </w:r>
      <w:r>
        <w:rPr>
          <w:rFonts w:hint="eastAsia" w:ascii="宋体" w:hAnsi="宋体" w:eastAsia="宋体" w:cs="宋体"/>
          <w:color w:val="auto"/>
          <w:sz w:val="24"/>
          <w:szCs w:val="32"/>
          <w:highlight w:val="none"/>
        </w:rPr>
        <w:t>年</w:t>
      </w:r>
      <w:r>
        <w:rPr>
          <w:rFonts w:hint="eastAsia" w:ascii="宋体" w:hAnsi="宋体" w:eastAsia="宋体" w:cs="宋体"/>
          <w:color w:val="auto"/>
          <w:sz w:val="24"/>
          <w:szCs w:val="32"/>
          <w:highlight w:val="none"/>
          <w:lang w:val="en-US" w:eastAsia="zh-CN"/>
        </w:rPr>
        <w:t>3</w:t>
      </w:r>
      <w:r>
        <w:rPr>
          <w:rFonts w:hint="eastAsia" w:ascii="宋体" w:hAnsi="宋体" w:eastAsia="宋体" w:cs="宋体"/>
          <w:color w:val="auto"/>
          <w:sz w:val="24"/>
          <w:szCs w:val="32"/>
          <w:highlight w:val="none"/>
        </w:rPr>
        <w:t>月</w:t>
      </w:r>
      <w:r>
        <w:rPr>
          <w:rFonts w:hint="eastAsia" w:ascii="宋体" w:hAnsi="宋体" w:eastAsia="宋体" w:cs="宋体"/>
          <w:color w:val="auto"/>
          <w:sz w:val="24"/>
          <w:szCs w:val="32"/>
          <w:highlight w:val="none"/>
          <w:lang w:val="en-US" w:eastAsia="zh-CN"/>
        </w:rPr>
        <w:t>26</w:t>
      </w:r>
      <w:r>
        <w:rPr>
          <w:rFonts w:hint="eastAsia" w:ascii="宋体" w:hAnsi="宋体" w:eastAsia="宋体" w:cs="宋体"/>
          <w:color w:val="auto"/>
          <w:sz w:val="24"/>
          <w:szCs w:val="32"/>
          <w:highlight w:val="none"/>
        </w:rPr>
        <w:t>日</w:t>
      </w:r>
      <w:r>
        <w:rPr>
          <w:rFonts w:hint="eastAsia" w:ascii="宋体" w:hAnsi="宋体" w:eastAsia="宋体" w:cs="宋体"/>
          <w:color w:val="auto"/>
          <w:sz w:val="24"/>
          <w:szCs w:val="32"/>
          <w:highlight w:val="none"/>
          <w:lang w:val="en-US" w:eastAsia="zh-CN"/>
        </w:rPr>
        <w:t>10</w:t>
      </w:r>
      <w:r>
        <w:rPr>
          <w:rFonts w:hint="eastAsia" w:ascii="宋体" w:hAnsi="宋体" w:eastAsia="宋体" w:cs="宋体"/>
          <w:color w:val="auto"/>
          <w:sz w:val="24"/>
          <w:szCs w:val="32"/>
          <w:highlight w:val="none"/>
        </w:rPr>
        <w:t>:</w:t>
      </w:r>
      <w:r>
        <w:rPr>
          <w:rFonts w:hint="eastAsia" w:ascii="宋体" w:hAnsi="宋体" w:eastAsia="宋体" w:cs="宋体"/>
          <w:color w:val="auto"/>
          <w:sz w:val="24"/>
          <w:szCs w:val="32"/>
          <w:highlight w:val="none"/>
          <w:lang w:val="en-US" w:eastAsia="zh-CN"/>
        </w:rPr>
        <w:t>0</w:t>
      </w:r>
      <w:r>
        <w:rPr>
          <w:rFonts w:hint="eastAsia" w:ascii="宋体" w:hAnsi="宋体" w:eastAsia="宋体" w:cs="宋体"/>
          <w:color w:val="auto"/>
          <w:sz w:val="24"/>
          <w:szCs w:val="32"/>
          <w:highlight w:val="none"/>
        </w:rPr>
        <w:t>0；</w:t>
      </w:r>
    </w:p>
    <w:p w14:paraId="6B9F524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2．比选地点：</w:t>
      </w:r>
      <w:r>
        <w:rPr>
          <w:rFonts w:hint="eastAsia" w:ascii="宋体" w:hAnsi="宋体" w:eastAsia="宋体" w:cs="宋体"/>
          <w:sz w:val="24"/>
          <w:szCs w:val="32"/>
          <w:lang w:val="en-US" w:eastAsia="zh-CN"/>
        </w:rPr>
        <w:t>三明城发物业有限公司会议室</w:t>
      </w:r>
      <w:r>
        <w:rPr>
          <w:rFonts w:hint="eastAsia" w:ascii="宋体" w:hAnsi="宋体" w:eastAsia="宋体" w:cs="宋体"/>
          <w:sz w:val="24"/>
          <w:szCs w:val="32"/>
        </w:rPr>
        <w:t>（地址：三明市三元区东乾路109号城发大厦</w:t>
      </w:r>
      <w:r>
        <w:rPr>
          <w:rFonts w:hint="eastAsia" w:ascii="宋体" w:hAnsi="宋体" w:eastAsia="宋体" w:cs="宋体"/>
          <w:sz w:val="24"/>
          <w:szCs w:val="32"/>
          <w:lang w:val="en-US" w:eastAsia="zh-CN"/>
        </w:rPr>
        <w:t>21</w:t>
      </w:r>
      <w:r>
        <w:rPr>
          <w:rFonts w:hint="eastAsia" w:ascii="宋体" w:hAnsi="宋体" w:eastAsia="宋体" w:cs="宋体"/>
          <w:sz w:val="24"/>
          <w:szCs w:val="32"/>
        </w:rPr>
        <w:t>楼）；</w:t>
      </w:r>
    </w:p>
    <w:p w14:paraId="012B6D6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3</w:t>
      </w:r>
      <w:r>
        <w:rPr>
          <w:rFonts w:hint="eastAsia" w:ascii="宋体" w:hAnsi="宋体" w:eastAsia="宋体" w:cs="宋体"/>
          <w:sz w:val="24"/>
          <w:szCs w:val="32"/>
        </w:rPr>
        <w:t>．比选人联系人：罗先生；联系电话：</w:t>
      </w:r>
      <w:r>
        <w:rPr>
          <w:rFonts w:hint="eastAsia" w:ascii="宋体" w:hAnsi="宋体" w:eastAsia="宋体" w:cs="宋体"/>
          <w:sz w:val="24"/>
          <w:szCs w:val="32"/>
          <w:lang w:val="en-US" w:eastAsia="zh-CN"/>
        </w:rPr>
        <w:t>0598-7992839</w:t>
      </w:r>
      <w:r>
        <w:rPr>
          <w:rFonts w:hint="eastAsia" w:ascii="宋体" w:hAnsi="宋体" w:eastAsia="宋体" w:cs="宋体"/>
          <w:sz w:val="24"/>
          <w:szCs w:val="32"/>
        </w:rPr>
        <w:t>；</w:t>
      </w:r>
    </w:p>
    <w:p w14:paraId="5F7B042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4</w:t>
      </w:r>
      <w:r>
        <w:rPr>
          <w:rFonts w:hint="eastAsia" w:ascii="宋体" w:hAnsi="宋体" w:eastAsia="宋体" w:cs="宋体"/>
          <w:sz w:val="24"/>
          <w:szCs w:val="32"/>
        </w:rPr>
        <w:t>．监督部门：</w:t>
      </w:r>
      <w:r>
        <w:rPr>
          <w:rFonts w:hint="eastAsia" w:ascii="宋体" w:hAnsi="宋体" w:eastAsia="宋体" w:cs="宋体"/>
          <w:sz w:val="24"/>
          <w:szCs w:val="32"/>
          <w:lang w:val="en-US" w:eastAsia="zh-CN"/>
        </w:rPr>
        <w:t>三明城发城市服务集团有限公司</w:t>
      </w:r>
      <w:r>
        <w:rPr>
          <w:rFonts w:hint="eastAsia" w:ascii="宋体" w:hAnsi="宋体" w:eastAsia="宋体" w:cs="宋体"/>
          <w:sz w:val="24"/>
          <w:szCs w:val="32"/>
        </w:rPr>
        <w:t>；</w:t>
      </w:r>
    </w:p>
    <w:p w14:paraId="0DBBF4F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themeColor="text1"/>
          <w:sz w:val="24"/>
          <w:szCs w:val="32"/>
          <w:highlight w:val="none"/>
          <w14:textFill>
            <w14:solidFill>
              <w14:schemeClr w14:val="tx1"/>
            </w14:solidFill>
          </w14:textFill>
        </w:rPr>
      </w:pPr>
      <w:r>
        <w:rPr>
          <w:rFonts w:hint="eastAsia" w:ascii="宋体" w:hAnsi="宋体" w:eastAsia="宋体" w:cs="宋体"/>
          <w:color w:val="000000" w:themeColor="text1"/>
          <w:sz w:val="24"/>
          <w:szCs w:val="32"/>
          <w:highlight w:val="none"/>
          <w:lang w:val="en-US" w:eastAsia="zh-CN"/>
          <w14:textFill>
            <w14:solidFill>
              <w14:schemeClr w14:val="tx1"/>
            </w14:solidFill>
          </w14:textFill>
        </w:rPr>
        <w:t>5</w:t>
      </w:r>
      <w:r>
        <w:rPr>
          <w:rFonts w:hint="eastAsia" w:ascii="宋体" w:hAnsi="宋体" w:eastAsia="宋体" w:cs="宋体"/>
          <w:color w:val="000000" w:themeColor="text1"/>
          <w:sz w:val="24"/>
          <w:szCs w:val="32"/>
          <w:highlight w:val="none"/>
          <w14:textFill>
            <w14:solidFill>
              <w14:schemeClr w14:val="tx1"/>
            </w14:solidFill>
          </w14:textFill>
        </w:rPr>
        <w:t>．公告媒介：在三明市城市建设发展集团有限公司网站（https://www.smcfjt.com/）公示。</w:t>
      </w:r>
    </w:p>
    <w:p w14:paraId="5BCCF80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themeColor="text1"/>
          <w:sz w:val="24"/>
          <w:szCs w:val="32"/>
          <w:highlight w:val="none"/>
          <w14:textFill>
            <w14:solidFill>
              <w14:schemeClr w14:val="tx1"/>
            </w14:solidFill>
          </w14:textFill>
        </w:rPr>
      </w:pPr>
      <w:r>
        <w:rPr>
          <w:rFonts w:hint="eastAsia" w:ascii="宋体" w:hAnsi="宋体" w:eastAsia="宋体" w:cs="宋体"/>
          <w:color w:val="000000" w:themeColor="text1"/>
          <w:sz w:val="24"/>
          <w:szCs w:val="32"/>
          <w:highlight w:val="none"/>
          <w14:textFill>
            <w14:solidFill>
              <w14:schemeClr w14:val="tx1"/>
            </w14:solidFill>
          </w14:textFill>
        </w:rPr>
        <w:t>六、比选活动程序</w:t>
      </w:r>
    </w:p>
    <w:p w14:paraId="0D783D3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color w:val="000000" w:themeColor="text1"/>
          <w:sz w:val="24"/>
          <w:szCs w:val="32"/>
          <w:highlight w:val="none"/>
          <w14:textFill>
            <w14:solidFill>
              <w14:schemeClr w14:val="tx1"/>
            </w14:solidFill>
          </w14:textFill>
        </w:rPr>
        <w:t>1．签</w:t>
      </w:r>
      <w:r>
        <w:rPr>
          <w:rFonts w:hint="eastAsia" w:ascii="宋体" w:hAnsi="宋体" w:eastAsia="宋体" w:cs="宋体"/>
          <w:i w:val="0"/>
          <w:iCs w:val="0"/>
          <w:color w:val="000000" w:themeColor="text1"/>
          <w:sz w:val="24"/>
          <w:szCs w:val="32"/>
          <w:highlight w:val="none"/>
          <w14:textFill>
            <w14:solidFill>
              <w14:schemeClr w14:val="tx1"/>
            </w14:solidFill>
          </w14:textFill>
        </w:rPr>
        <w:t>到核验。比选申请人应在比选时间前将①比选申请文件（</w:t>
      </w:r>
      <w:r>
        <w:rPr>
          <w:rFonts w:hint="eastAsia" w:ascii="宋体" w:hAnsi="宋体" w:eastAsia="宋体" w:cs="宋体"/>
          <w:b/>
          <w:bCs/>
          <w:i w:val="0"/>
          <w:iCs w:val="0"/>
          <w:color w:val="000000" w:themeColor="text1"/>
          <w:sz w:val="24"/>
          <w:szCs w:val="32"/>
          <w:highlight w:val="none"/>
          <w14:textFill>
            <w14:solidFill>
              <w14:schemeClr w14:val="tx1"/>
            </w14:solidFill>
          </w14:textFill>
        </w:rPr>
        <w:t>一式一份</w:t>
      </w:r>
      <w:r>
        <w:rPr>
          <w:rFonts w:hint="eastAsia" w:ascii="宋体" w:hAnsi="宋体" w:eastAsia="宋体" w:cs="宋体"/>
          <w:b/>
          <w:bCs/>
          <w:i w:val="0"/>
          <w:iCs w:val="0"/>
          <w:color w:val="000000" w:themeColor="text1"/>
          <w:sz w:val="24"/>
          <w:szCs w:val="32"/>
          <w:highlight w:val="none"/>
          <w:lang w:val="en-US" w:eastAsia="zh-CN"/>
          <w14:textFill>
            <w14:solidFill>
              <w14:schemeClr w14:val="tx1"/>
            </w14:solidFill>
          </w14:textFill>
        </w:rPr>
        <w:t>装订</w:t>
      </w:r>
      <w:r>
        <w:rPr>
          <w:rFonts w:hint="eastAsia" w:ascii="宋体" w:hAnsi="宋体" w:eastAsia="宋体" w:cs="宋体"/>
          <w:b/>
          <w:bCs/>
          <w:i w:val="0"/>
          <w:iCs w:val="0"/>
          <w:color w:val="000000" w:themeColor="text1"/>
          <w:sz w:val="24"/>
          <w:szCs w:val="32"/>
          <w:highlight w:val="none"/>
          <w14:textFill>
            <w14:solidFill>
              <w14:schemeClr w14:val="tx1"/>
            </w14:solidFill>
          </w14:textFill>
        </w:rPr>
        <w:t>，无需密封</w:t>
      </w:r>
      <w:r>
        <w:rPr>
          <w:rFonts w:hint="eastAsia" w:ascii="宋体" w:hAnsi="宋体" w:eastAsia="宋体" w:cs="宋体"/>
          <w:i w:val="0"/>
          <w:iCs w:val="0"/>
          <w:color w:val="000000" w:themeColor="text1"/>
          <w:sz w:val="24"/>
          <w:szCs w:val="32"/>
          <w:highlight w:val="none"/>
          <w14:textFill>
            <w14:solidFill>
              <w14:schemeClr w14:val="tx1"/>
            </w14:solidFill>
          </w14:textFill>
        </w:rPr>
        <w:t>）、②《报价函》（</w:t>
      </w:r>
      <w:r>
        <w:rPr>
          <w:rFonts w:hint="eastAsia" w:ascii="宋体" w:hAnsi="宋体" w:eastAsia="宋体" w:cs="宋体"/>
          <w:b/>
          <w:bCs/>
          <w:i w:val="0"/>
          <w:iCs w:val="0"/>
          <w:color w:val="000000" w:themeColor="text1"/>
          <w:sz w:val="24"/>
          <w:szCs w:val="32"/>
          <w:highlight w:val="none"/>
          <w14:textFill>
            <w14:solidFill>
              <w14:schemeClr w14:val="tx1"/>
            </w14:solidFill>
          </w14:textFill>
        </w:rPr>
        <w:t>一式一份，须独立密封，格式见附件</w:t>
      </w:r>
      <w:r>
        <w:rPr>
          <w:rFonts w:hint="eastAsia" w:ascii="宋体" w:hAnsi="宋体" w:eastAsia="宋体" w:cs="宋体"/>
          <w:i w:val="0"/>
          <w:iCs w:val="0"/>
          <w:color w:val="000000" w:themeColor="text1"/>
          <w:sz w:val="24"/>
          <w:szCs w:val="32"/>
          <w:highlight w:val="none"/>
          <w14:textFill>
            <w14:solidFill>
              <w14:schemeClr w14:val="tx1"/>
            </w14:solidFill>
          </w14:textFill>
        </w:rPr>
        <w:t>）递交</w:t>
      </w:r>
      <w:r>
        <w:rPr>
          <w:rFonts w:hint="eastAsia" w:ascii="宋体" w:hAnsi="宋体" w:eastAsia="宋体" w:cs="宋体"/>
          <w:i w:val="0"/>
          <w:iCs w:val="0"/>
          <w:sz w:val="24"/>
          <w:szCs w:val="32"/>
        </w:rPr>
        <w:t>至比选地点。比选申请人代表应按时到场签到。逾期送达的或未送达指定地点</w:t>
      </w:r>
      <w:r>
        <w:rPr>
          <w:rFonts w:hint="eastAsia" w:ascii="宋体" w:hAnsi="宋体" w:eastAsia="宋体" w:cs="宋体"/>
          <w:sz w:val="24"/>
          <w:szCs w:val="32"/>
        </w:rPr>
        <w:t>的或《报价函》未独立密封的或比选申请人代表未按要求到场核验登记的比选申请文件，比选人不予受理。</w:t>
      </w:r>
    </w:p>
    <w:p w14:paraId="15BDB3D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资格审核。比选时间开始后，由比选人核验比选申请人的法定代表人或其委托代理人的身份并审核比选申请人的资格条件。比选申请文件中的委托代理人与到场人员不一致的，申请单位、比选项目名称等内容与比选公告内容不符的，未按要求提供证明文件或未加盖有效印章的，其资格审核不通过，不得进入下一比选环节。</w:t>
      </w:r>
    </w:p>
    <w:p w14:paraId="13AF132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3．宣布办法。宣布本次比选办法。</w:t>
      </w:r>
    </w:p>
    <w:p w14:paraId="4801547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3.1.比选办法。本比选项目采用竞价择优中选</w:t>
      </w:r>
      <w:r>
        <w:rPr>
          <w:rFonts w:hint="eastAsia" w:ascii="宋体" w:hAnsi="宋体" w:eastAsia="宋体" w:cs="宋体"/>
          <w:color w:val="auto"/>
          <w:sz w:val="24"/>
          <w:szCs w:val="32"/>
          <w:highlight w:val="none"/>
        </w:rPr>
        <w:t>法。比选申请人的比选报价不得</w:t>
      </w:r>
      <w:r>
        <w:rPr>
          <w:rFonts w:hint="eastAsia" w:ascii="宋体" w:hAnsi="宋体" w:eastAsia="宋体" w:cs="宋体"/>
          <w:color w:val="auto"/>
          <w:sz w:val="24"/>
          <w:szCs w:val="32"/>
          <w:highlight w:val="none"/>
          <w:lang w:val="en-US" w:eastAsia="zh-CN"/>
        </w:rPr>
        <w:t>低</w:t>
      </w:r>
      <w:r>
        <w:rPr>
          <w:rFonts w:hint="eastAsia" w:ascii="宋体" w:hAnsi="宋体" w:eastAsia="宋体" w:cs="宋体"/>
          <w:color w:val="auto"/>
          <w:sz w:val="24"/>
          <w:szCs w:val="32"/>
          <w:highlight w:val="none"/>
        </w:rPr>
        <w:t>于最</w:t>
      </w:r>
      <w:r>
        <w:rPr>
          <w:rFonts w:hint="eastAsia" w:ascii="宋体" w:hAnsi="宋体" w:eastAsia="宋体" w:cs="宋体"/>
          <w:color w:val="auto"/>
          <w:sz w:val="24"/>
          <w:szCs w:val="32"/>
          <w:highlight w:val="none"/>
          <w:lang w:val="en-US" w:eastAsia="zh-CN"/>
        </w:rPr>
        <w:t>低</w:t>
      </w:r>
      <w:r>
        <w:rPr>
          <w:rFonts w:hint="eastAsia" w:ascii="宋体" w:hAnsi="宋体" w:eastAsia="宋体" w:cs="宋体"/>
          <w:color w:val="auto"/>
          <w:sz w:val="24"/>
          <w:szCs w:val="32"/>
          <w:highlight w:val="none"/>
        </w:rPr>
        <w:t>限价</w:t>
      </w:r>
      <w:r>
        <w:rPr>
          <w:rFonts w:hint="eastAsia" w:ascii="宋体" w:hAnsi="宋体" w:eastAsia="宋体" w:cs="宋体"/>
          <w:color w:val="auto"/>
          <w:sz w:val="24"/>
          <w:szCs w:val="32"/>
          <w:highlight w:val="none"/>
          <w:lang w:eastAsia="zh-CN"/>
        </w:rPr>
        <w:t>，</w:t>
      </w:r>
      <w:r>
        <w:rPr>
          <w:rFonts w:hint="eastAsia" w:ascii="宋体" w:hAnsi="宋体" w:eastAsia="宋体" w:cs="宋体"/>
          <w:color w:val="auto"/>
          <w:sz w:val="24"/>
          <w:szCs w:val="32"/>
          <w:highlight w:val="none"/>
        </w:rPr>
        <w:t>否则其报价无效</w:t>
      </w:r>
      <w:r>
        <w:rPr>
          <w:rFonts w:hint="eastAsia" w:ascii="宋体" w:hAnsi="宋体" w:eastAsia="宋体" w:cs="宋体"/>
          <w:color w:val="auto"/>
          <w:sz w:val="24"/>
          <w:szCs w:val="32"/>
          <w:highlight w:val="none"/>
          <w:lang w:eastAsia="zh-CN"/>
        </w:rPr>
        <w:t>。</w:t>
      </w:r>
      <w:r>
        <w:rPr>
          <w:rFonts w:hint="eastAsia" w:ascii="宋体" w:hAnsi="宋体" w:eastAsia="宋体" w:cs="宋体"/>
          <w:sz w:val="24"/>
          <w:szCs w:val="32"/>
        </w:rPr>
        <w:t>比选报价大写数值和小写数值不一致的，以大写数值为准。</w:t>
      </w:r>
    </w:p>
    <w:p w14:paraId="6886252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①若资格条件、报价符合要求的比选申请人＜3家时，本次比选失败，</w:t>
      </w:r>
    </w:p>
    <w:p w14:paraId="3B88E0A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②若资格条件、报价符合要求的比选申请人数量≥3家时</w:t>
      </w:r>
      <w:r>
        <w:rPr>
          <w:rFonts w:hint="eastAsia" w:ascii="宋体" w:hAnsi="宋体" w:eastAsia="宋体" w:cs="宋体"/>
          <w:sz w:val="24"/>
          <w:szCs w:val="32"/>
          <w:highlight w:val="none"/>
          <w:lang w:eastAsia="zh-CN"/>
        </w:rPr>
        <w:t>，</w:t>
      </w:r>
      <w:r>
        <w:rPr>
          <w:rFonts w:hint="eastAsia" w:ascii="宋体" w:hAnsi="宋体" w:eastAsia="宋体" w:cs="宋体"/>
          <w:sz w:val="24"/>
          <w:szCs w:val="32"/>
          <w:highlight w:val="none"/>
        </w:rPr>
        <w:t>将符合条件的比选申请人的报价由高到低排序，有效报价最高的为第一中选候选人，以此类推选择第二、第三中选候选人。当出现二个或二个以上比选申请人的有效报价相同时，则以随机抽取的方式确定排序；以比选申请人提交比选申请书的签到号作为代表号（代表号不再另行抽取）进行随机抽取，先抽取出来的球号排序在前。</w:t>
      </w:r>
    </w:p>
    <w:p w14:paraId="4C4922A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4．公示结果。公示比选结果。</w:t>
      </w:r>
    </w:p>
    <w:p w14:paraId="43FAB49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5．发放通知书。经公示无异议后，向第一中选候选人发放《中选通知书》。</w:t>
      </w:r>
    </w:p>
    <w:p w14:paraId="43ACC55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6．签订合同。中选人按照中选通知书要求的时间与比选人联系、商议，依照法律法规签订合同。</w:t>
      </w:r>
    </w:p>
    <w:p w14:paraId="1DFF1D5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7．重新委托。中选人放弃中选、因不可抗力提出不能履行合同，或中选单位的中选资格被相关行政主管部门确认无效的，比选人可以按照中选候选人名单排序依次确定其他中选候选人为中选人，也可以重新比选。</w:t>
      </w:r>
    </w:p>
    <w:p w14:paraId="1EF5152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七、其他事宜</w:t>
      </w:r>
    </w:p>
    <w:p w14:paraId="0AB7A4F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w:t>
      </w:r>
      <w:r>
        <w:rPr>
          <w:rFonts w:hint="eastAsia" w:ascii="宋体" w:hAnsi="宋体" w:eastAsia="宋体" w:cs="宋体"/>
          <w:sz w:val="24"/>
          <w:szCs w:val="32"/>
          <w:lang w:eastAsia="zh-CN"/>
        </w:rPr>
        <w:t>.</w:t>
      </w:r>
      <w:r>
        <w:rPr>
          <w:rFonts w:hint="eastAsia" w:ascii="宋体" w:hAnsi="宋体" w:eastAsia="宋体" w:cs="宋体"/>
          <w:sz w:val="24"/>
          <w:szCs w:val="32"/>
        </w:rPr>
        <w:t>中选的单位非不可抗力原因放弃中选的，或不按合同约定提供服务的，给比选人造成损失的，比选人有权进行索赔。</w:t>
      </w:r>
    </w:p>
    <w:p w14:paraId="4D67078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w:t>
      </w:r>
      <w:r>
        <w:rPr>
          <w:rFonts w:hint="eastAsia" w:ascii="宋体" w:hAnsi="宋体" w:eastAsia="宋体" w:cs="宋体"/>
          <w:sz w:val="24"/>
          <w:szCs w:val="32"/>
          <w:lang w:eastAsia="zh-CN"/>
        </w:rPr>
        <w:t>.</w:t>
      </w:r>
      <w:r>
        <w:rPr>
          <w:rFonts w:hint="eastAsia" w:ascii="宋体" w:hAnsi="宋体" w:eastAsia="宋体" w:cs="宋体"/>
          <w:sz w:val="24"/>
          <w:szCs w:val="32"/>
        </w:rPr>
        <w:t>因法律法规变更、政府部门要求、相关规范调整、比选人进行改建或扩建、广告位被比选人集团公司或其关联的地产公司征用、业委会成立并收回广告位租赁权等原因，以及不可抗力因素的出现，导致合同无法继续履行的，比选人有权解除合同，且不承担违约责任。租金将根据实际租赁时间进行计算。</w:t>
      </w:r>
    </w:p>
    <w:p w14:paraId="6BA11E0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3.</w:t>
      </w:r>
      <w:r>
        <w:rPr>
          <w:rFonts w:hint="eastAsia" w:ascii="宋体" w:hAnsi="宋体" w:eastAsia="宋体" w:cs="宋体"/>
          <w:sz w:val="24"/>
          <w:szCs w:val="32"/>
        </w:rPr>
        <w:t>相关广告位、牌及设备的投资制作与建设由中选单位自行负责，同时，产生的水电费用也由中选单位承担。</w:t>
      </w:r>
    </w:p>
    <w:p w14:paraId="5673A92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4</w:t>
      </w:r>
      <w:r>
        <w:rPr>
          <w:rFonts w:hint="eastAsia" w:ascii="宋体" w:hAnsi="宋体" w:eastAsia="宋体" w:cs="宋体"/>
          <w:sz w:val="24"/>
          <w:szCs w:val="32"/>
        </w:rPr>
        <w:t>．原承租单位在同等价格条件下享有优先承租权；租金遵循先缴费后使用的原则，实行按年缴纳。</w:t>
      </w:r>
    </w:p>
    <w:p w14:paraId="1CA7D62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5. 履约保证金及广告制作投放</w:t>
      </w:r>
    </w:p>
    <w:p w14:paraId="4585F7D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5.1 中选人应于本合同签订之后，向比选人一次性支付履约保证金人民币2000元。本合同租金应与履约保证金同时支付。前述款项全部付清后，中选人方可开始广告制作。</w:t>
      </w:r>
    </w:p>
    <w:p w14:paraId="5220018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5.2 广告内容、方案、施工方案等（下称“广告方案”），均须比选人同意。未经中选人同意的，不得进行任何形式的制作、发布或安装。</w:t>
      </w:r>
    </w:p>
    <w:p w14:paraId="4971DDE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5.3 若中选人违反第5.2条约定，未经比选人同意擅自制作、发布或安装广告的，比选人有权单方采取以下一项或多项措施：</w:t>
      </w:r>
    </w:p>
    <w:p w14:paraId="4752D3A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(a) 要求中选人立即拆除，由此产生的一切费用及损失由中选人承担；</w:t>
      </w:r>
    </w:p>
    <w:p w14:paraId="213402E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(b) 不予返还履约保证金；</w:t>
      </w:r>
    </w:p>
    <w:p w14:paraId="1919382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(c) 要求中选人支付违约金；</w:t>
      </w:r>
    </w:p>
    <w:p w14:paraId="0F2F642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(d) 单方解除本合同。</w:t>
      </w:r>
    </w:p>
    <w:p w14:paraId="6FD50D9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6. 物业管理与维护责任</w:t>
      </w:r>
    </w:p>
    <w:p w14:paraId="4FB119B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6.1 中选人应遵守广告所在项目的物业管理规定，并配合物业管理方的日常管理工作。因违反规定导致比选人或物业管理方遭受处罚、索赔或损失的，由中选人承担全部责任。</w:t>
      </w:r>
    </w:p>
    <w:p w14:paraId="32B5A4E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6.2 中选人负责广告的日常维护与安全管理。广告出现损坏、褪色、脱落、故障或其他影响美观、安全情形的，中选人应在接到比选人或物业管理方通知后24小时内响应并开始维修。情况紧急的，比选人或物业管理方有权先行处置，产生的合理费用由中选人承担。</w:t>
      </w:r>
    </w:p>
    <w:p w14:paraId="0561B35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6.3 因广告维护不及时或不到位造成任何人身损害或财产损失的，由中选人承担全部法律责任。</w:t>
      </w:r>
    </w:p>
    <w:p w14:paraId="3208200E">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right"/>
        <w:textAlignment w:val="auto"/>
        <w:rPr>
          <w:rFonts w:hint="eastAsia" w:ascii="宋体" w:hAnsi="宋体" w:eastAsia="宋体" w:cs="宋体"/>
          <w:sz w:val="24"/>
          <w:szCs w:val="32"/>
        </w:rPr>
      </w:pPr>
    </w:p>
    <w:p w14:paraId="706C3064">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right"/>
        <w:textAlignment w:val="auto"/>
        <w:rPr>
          <w:rFonts w:hint="eastAsia" w:ascii="宋体" w:hAnsi="宋体" w:eastAsia="宋体" w:cs="宋体"/>
          <w:sz w:val="24"/>
          <w:szCs w:val="32"/>
        </w:rPr>
      </w:pPr>
      <w:r>
        <w:rPr>
          <w:rFonts w:hint="eastAsia" w:ascii="宋体" w:hAnsi="宋体" w:eastAsia="宋体" w:cs="宋体"/>
          <w:sz w:val="24"/>
          <w:szCs w:val="32"/>
        </w:rPr>
        <w:t>比选人：三明城发物业有限公司</w:t>
      </w:r>
    </w:p>
    <w:p w14:paraId="1E2F9C3F">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right"/>
        <w:textAlignment w:val="auto"/>
        <w:rPr>
          <w:rFonts w:hint="eastAsia" w:ascii="宋体" w:hAnsi="宋体" w:eastAsia="宋体" w:cs="宋体"/>
          <w:sz w:val="24"/>
          <w:szCs w:val="32"/>
          <w:highlight w:val="none"/>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4"/>
          <w:szCs w:val="32"/>
          <w:highlight w:val="none"/>
        </w:rPr>
        <w:t>日期：202</w:t>
      </w:r>
      <w:r>
        <w:rPr>
          <w:rFonts w:hint="eastAsia" w:ascii="宋体" w:hAnsi="宋体" w:eastAsia="宋体" w:cs="宋体"/>
          <w:sz w:val="24"/>
          <w:szCs w:val="32"/>
          <w:highlight w:val="none"/>
          <w:lang w:val="en-US" w:eastAsia="zh-CN"/>
        </w:rPr>
        <w:t>6</w:t>
      </w:r>
      <w:r>
        <w:rPr>
          <w:rFonts w:hint="eastAsia" w:ascii="宋体" w:hAnsi="宋体" w:eastAsia="宋体" w:cs="宋体"/>
          <w:sz w:val="24"/>
          <w:szCs w:val="32"/>
          <w:highlight w:val="none"/>
        </w:rPr>
        <w:t>年</w:t>
      </w:r>
      <w:r>
        <w:rPr>
          <w:rFonts w:hint="eastAsia" w:ascii="宋体" w:hAnsi="宋体" w:eastAsia="宋体" w:cs="宋体"/>
          <w:sz w:val="24"/>
          <w:szCs w:val="32"/>
          <w:highlight w:val="none"/>
          <w:lang w:val="en-US" w:eastAsia="zh-CN"/>
        </w:rPr>
        <w:t>3</w:t>
      </w:r>
      <w:r>
        <w:rPr>
          <w:rFonts w:hint="eastAsia" w:ascii="宋体" w:hAnsi="宋体" w:eastAsia="宋体" w:cs="宋体"/>
          <w:sz w:val="24"/>
          <w:szCs w:val="32"/>
          <w:highlight w:val="none"/>
        </w:rPr>
        <w:t>月</w:t>
      </w:r>
      <w:r>
        <w:rPr>
          <w:rFonts w:hint="eastAsia" w:ascii="宋体" w:hAnsi="宋体" w:eastAsia="宋体" w:cs="宋体"/>
          <w:sz w:val="24"/>
          <w:szCs w:val="32"/>
          <w:highlight w:val="none"/>
          <w:lang w:val="en-US" w:eastAsia="zh-CN"/>
        </w:rPr>
        <w:t>2</w:t>
      </w:r>
      <w:bookmarkStart w:id="0" w:name="_GoBack"/>
      <w:bookmarkEnd w:id="0"/>
      <w:r>
        <w:rPr>
          <w:rFonts w:hint="eastAsia" w:ascii="宋体" w:hAnsi="宋体" w:eastAsia="宋体" w:cs="宋体"/>
          <w:sz w:val="24"/>
          <w:szCs w:val="32"/>
          <w:highlight w:val="none"/>
          <w:lang w:val="en-US" w:eastAsia="zh-CN"/>
        </w:rPr>
        <w:t>3</w:t>
      </w:r>
      <w:r>
        <w:rPr>
          <w:rFonts w:hint="eastAsia" w:ascii="宋体" w:hAnsi="宋体" w:eastAsia="宋体" w:cs="宋体"/>
          <w:sz w:val="24"/>
          <w:szCs w:val="32"/>
          <w:highlight w:val="none"/>
        </w:rPr>
        <w:t>日</w:t>
      </w:r>
    </w:p>
    <w:p w14:paraId="125B0942">
      <w:pPr>
        <w:pStyle w:val="4"/>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52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附件：比选申请文件格式</w:t>
      </w:r>
    </w:p>
    <w:p w14:paraId="354FC5BA">
      <w:pPr>
        <w:pStyle w:val="4"/>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52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2594420E">
      <w:pPr>
        <w:pStyle w:val="4"/>
        <w:keepNext w:val="0"/>
        <w:keepLines w:val="0"/>
        <w:pageBreakBefore w:val="0"/>
        <w:kinsoku/>
        <w:wordWrap/>
        <w:overflowPunct/>
        <w:topLinePunct w:val="0"/>
        <w:autoSpaceDE/>
        <w:autoSpaceDN/>
        <w:bidi w:val="0"/>
        <w:adjustRightInd/>
        <w:snapToGrid/>
        <w:spacing w:before="0" w:beforeAutospacing="0" w:after="0" w:afterAutospacing="0" w:line="520" w:lineRule="exact"/>
        <w:jc w:val="both"/>
        <w:textAlignment w:val="auto"/>
        <w:rPr>
          <w:color w:val="auto"/>
          <w:highlight w:val="none"/>
        </w:rPr>
      </w:pPr>
      <w:r>
        <w:rPr>
          <w:rFonts w:hint="eastAsia"/>
          <w:color w:val="auto"/>
          <w:highlight w:val="none"/>
          <w:u w:val="single"/>
          <w:lang w:eastAsia="zh-CN"/>
        </w:rPr>
        <w:t>三明城发物业有限公司</w:t>
      </w:r>
      <w:r>
        <w:rPr>
          <w:rFonts w:hint="eastAsia"/>
          <w:color w:val="auto"/>
          <w:highlight w:val="none"/>
        </w:rPr>
        <w:t>（比选人）：</w:t>
      </w:r>
    </w:p>
    <w:p w14:paraId="089B0860">
      <w:pPr>
        <w:pStyle w:val="4"/>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三明城发物业有限公司</w:t>
      </w:r>
      <w:r>
        <w:rPr>
          <w:rFonts w:hint="eastAsia"/>
          <w:color w:val="auto"/>
          <w:highlight w:val="none"/>
          <w:u w:val="single"/>
          <w:lang w:val="en-US" w:eastAsia="zh-CN"/>
        </w:rPr>
        <w:t>各项目停车场</w:t>
      </w:r>
      <w:r>
        <w:rPr>
          <w:rFonts w:hint="eastAsia"/>
          <w:color w:val="auto"/>
          <w:highlight w:val="none"/>
          <w:u w:val="single"/>
          <w:lang w:eastAsia="zh-CN"/>
        </w:rPr>
        <w:t>出入口道闸广告位租赁</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三明城发物业有限公司</w:t>
      </w:r>
      <w:r>
        <w:rPr>
          <w:rFonts w:hint="eastAsia"/>
          <w:color w:val="auto"/>
          <w:highlight w:val="none"/>
          <w:u w:val="single"/>
          <w:lang w:val="en-US" w:eastAsia="zh-CN"/>
        </w:rPr>
        <w:t>各项目停车场</w:t>
      </w:r>
      <w:r>
        <w:rPr>
          <w:rFonts w:hint="eastAsia"/>
          <w:color w:val="auto"/>
          <w:highlight w:val="none"/>
          <w:u w:val="single"/>
          <w:lang w:eastAsia="zh-CN"/>
        </w:rPr>
        <w:t>出入口道闸广告位租赁</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15F5504E">
      <w:pPr>
        <w:pStyle w:val="4"/>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w:t>
      </w:r>
      <w:r>
        <w:rPr>
          <w:rFonts w:hint="eastAsia"/>
          <w:i w:val="0"/>
          <w:iCs w:val="0"/>
          <w:color w:val="auto"/>
          <w:highlight w:val="none"/>
          <w:lang w:val="en-US" w:eastAsia="zh-CN"/>
        </w:rPr>
        <w:t>1</w:t>
      </w:r>
      <w:r>
        <w:rPr>
          <w:rFonts w:hint="eastAsia"/>
          <w:i w:val="0"/>
          <w:iCs w:val="0"/>
          <w:color w:val="auto"/>
          <w:highlight w:val="none"/>
          <w:lang w:eastAsia="zh-CN"/>
        </w:rPr>
        <w:t>）比选申请人基本情况表；</w:t>
      </w:r>
    </w:p>
    <w:p w14:paraId="76C3582F">
      <w:pPr>
        <w:pStyle w:val="4"/>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52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授权委托书（如有）；</w:t>
      </w:r>
    </w:p>
    <w:p w14:paraId="4A968975">
      <w:pPr>
        <w:pStyle w:val="4"/>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52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业绩证明材料。</w:t>
      </w:r>
    </w:p>
    <w:p w14:paraId="09AB293F">
      <w:pPr>
        <w:pStyle w:val="4"/>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5F1EF471">
      <w:pPr>
        <w:pStyle w:val="4"/>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00C2DC6A">
      <w:pPr>
        <w:pStyle w:val="4"/>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217646E7">
      <w:pPr>
        <w:pStyle w:val="4"/>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（3）我</w:t>
      </w:r>
      <w:r>
        <w:rPr>
          <w:rFonts w:hint="eastAsia"/>
          <w:color w:val="auto"/>
          <w:highlight w:val="none"/>
        </w:rPr>
        <w:t>公司</w:t>
      </w:r>
      <w:r>
        <w:rPr>
          <w:rFonts w:hint="eastAsia"/>
          <w:color w:val="auto"/>
          <w:highlight w:val="none"/>
          <w:lang w:val="en-US" w:eastAsia="zh-CN"/>
        </w:rPr>
        <w:t>所提交信息材料、比选材料、证明文件真实可靠，并对其真实性承担相应的法律责任。</w:t>
      </w:r>
    </w:p>
    <w:p w14:paraId="7C6DB92E">
      <w:pPr>
        <w:pStyle w:val="4"/>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632"/>
        <w:jc w:val="both"/>
        <w:textAlignment w:val="auto"/>
        <w:rPr>
          <w:rFonts w:hint="eastAsia"/>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72D4720E">
      <w:pPr>
        <w:pStyle w:val="4"/>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632"/>
        <w:jc w:val="left"/>
        <w:textAlignment w:val="auto"/>
        <w:rPr>
          <w:color w:val="auto"/>
          <w:highlight w:val="none"/>
        </w:rPr>
      </w:pPr>
      <w:r>
        <w:rPr>
          <w:rFonts w:hint="eastAsia"/>
          <w:color w:val="auto"/>
          <w:highlight w:val="none"/>
          <w:lang w:val="en-US" w:eastAsia="zh-CN"/>
        </w:rPr>
        <w:t>联系人：</w:t>
      </w:r>
      <w:r>
        <w:rPr>
          <w:rFonts w:hint="eastAsia"/>
          <w:color w:val="auto"/>
          <w:highlight w:val="none"/>
          <w:u w:val="single"/>
          <w:lang w:val="en-US" w:eastAsia="zh-CN"/>
        </w:rPr>
        <w:t xml:space="preserve">                </w:t>
      </w:r>
      <w:r>
        <w:rPr>
          <w:rFonts w:hint="eastAsia"/>
          <w:color w:val="auto"/>
          <w:highlight w:val="none"/>
        </w:rPr>
        <w:t>                   </w:t>
      </w:r>
    </w:p>
    <w:p w14:paraId="1724A066">
      <w:pPr>
        <w:pStyle w:val="4"/>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22C16CB6">
      <w:pPr>
        <w:pStyle w:val="4"/>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640"/>
        <w:jc w:val="right"/>
        <w:textAlignment w:val="auto"/>
        <w:rPr>
          <w:rFonts w:hint="eastAsia"/>
          <w:color w:val="auto"/>
          <w:highlight w:val="none"/>
          <w:lang w:eastAsia="zh-CN"/>
        </w:rPr>
      </w:pPr>
    </w:p>
    <w:p w14:paraId="7A88752D">
      <w:pPr>
        <w:pStyle w:val="4"/>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640"/>
        <w:jc w:val="right"/>
        <w:textAlignment w:val="auto"/>
        <w:rPr>
          <w:rFonts w:hint="eastAsia"/>
          <w:color w:val="auto"/>
          <w:highlight w:val="none"/>
          <w:lang w:eastAsia="zh-CN"/>
        </w:rPr>
      </w:pPr>
    </w:p>
    <w:p w14:paraId="174AE4D5">
      <w:pPr>
        <w:pStyle w:val="4"/>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593FF7B8">
      <w:pPr>
        <w:pStyle w:val="4"/>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640"/>
        <w:jc w:val="right"/>
        <w:textAlignment w:val="auto"/>
        <w:rPr>
          <w:color w:val="auto"/>
          <w:highlight w:val="none"/>
        </w:rPr>
      </w:pPr>
      <w:r>
        <w:rPr>
          <w:rFonts w:hint="eastAsia"/>
          <w:color w:val="auto"/>
          <w:highlight w:val="none"/>
        </w:rPr>
        <w:t>            日期：    年  月  日</w:t>
      </w:r>
    </w:p>
    <w:p w14:paraId="7ACC653D">
      <w:pPr>
        <w:keepNext w:val="0"/>
        <w:keepLines w:val="0"/>
        <w:pageBreakBefore w:val="0"/>
        <w:kinsoku/>
        <w:wordWrap/>
        <w:overflowPunct/>
        <w:topLinePunct w:val="0"/>
        <w:bidi w:val="0"/>
        <w:adjustRightInd/>
        <w:spacing w:line="520" w:lineRule="exact"/>
        <w:textAlignment w:val="auto"/>
        <w:rPr>
          <w:rFonts w:hint="eastAsia" w:ascii="宋体"/>
          <w:b/>
          <w:color w:val="auto"/>
          <w:sz w:val="32"/>
          <w:szCs w:val="32"/>
          <w:highlight w:val="none"/>
        </w:rPr>
      </w:pPr>
      <w:r>
        <w:rPr>
          <w:rFonts w:hint="eastAsia" w:ascii="宋体"/>
          <w:b/>
          <w:color w:val="auto"/>
          <w:sz w:val="32"/>
          <w:szCs w:val="32"/>
          <w:highlight w:val="none"/>
        </w:rPr>
        <w:br w:type="page"/>
      </w:r>
    </w:p>
    <w:p w14:paraId="7E1CB57C">
      <w:pPr>
        <w:pStyle w:val="7"/>
        <w:keepNext w:val="0"/>
        <w:keepLines w:val="0"/>
        <w:pageBreakBefore w:val="0"/>
        <w:kinsoku/>
        <w:wordWrap/>
        <w:overflowPunct/>
        <w:topLinePunct w:val="0"/>
        <w:bidi w:val="0"/>
        <w:adjustRightInd/>
        <w:spacing w:before="312" w:beforeLines="100" w:line="520" w:lineRule="exact"/>
        <w:jc w:val="left"/>
        <w:textAlignment w:val="auto"/>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245FF4B">
      <w:pPr>
        <w:pStyle w:val="7"/>
        <w:keepNext w:val="0"/>
        <w:keepLines w:val="0"/>
        <w:pageBreakBefore w:val="0"/>
        <w:kinsoku/>
        <w:wordWrap/>
        <w:overflowPunct/>
        <w:topLinePunct w:val="0"/>
        <w:bidi w:val="0"/>
        <w:adjustRightInd/>
        <w:spacing w:before="312" w:beforeLines="100" w:line="520" w:lineRule="exact"/>
        <w:jc w:val="center"/>
        <w:textAlignment w:val="auto"/>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5"/>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649EE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8714153">
            <w:pPr>
              <w:pStyle w:val="7"/>
              <w:keepNext w:val="0"/>
              <w:keepLines w:val="0"/>
              <w:pageBreakBefore w:val="0"/>
              <w:kinsoku/>
              <w:wordWrap/>
              <w:overflowPunct/>
              <w:topLinePunct w:val="0"/>
              <w:bidi w:val="0"/>
              <w:adjustRightInd/>
              <w:spacing w:line="520" w:lineRule="exact"/>
              <w:jc w:val="center"/>
              <w:textAlignment w:val="auto"/>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4A756196">
            <w:pPr>
              <w:pStyle w:val="7"/>
              <w:keepNext w:val="0"/>
              <w:keepLines w:val="0"/>
              <w:pageBreakBefore w:val="0"/>
              <w:kinsoku/>
              <w:wordWrap/>
              <w:overflowPunct/>
              <w:topLinePunct w:val="0"/>
              <w:bidi w:val="0"/>
              <w:adjustRightInd/>
              <w:spacing w:line="520" w:lineRule="exact"/>
              <w:jc w:val="center"/>
              <w:textAlignment w:val="auto"/>
              <w:rPr>
                <w:rFonts w:hint="eastAsia" w:ascii="宋体" w:cs="仿宋_GB2312"/>
                <w:color w:val="auto"/>
                <w:spacing w:val="14"/>
                <w:szCs w:val="21"/>
                <w:highlight w:val="none"/>
              </w:rPr>
            </w:pPr>
          </w:p>
        </w:tc>
      </w:tr>
      <w:tr w14:paraId="49709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7E273B">
            <w:pPr>
              <w:pStyle w:val="7"/>
              <w:keepNext w:val="0"/>
              <w:keepLines w:val="0"/>
              <w:pageBreakBefore w:val="0"/>
              <w:kinsoku/>
              <w:wordWrap/>
              <w:overflowPunct/>
              <w:topLinePunct w:val="0"/>
              <w:bidi w:val="0"/>
              <w:adjustRightInd/>
              <w:spacing w:line="520" w:lineRule="exact"/>
              <w:jc w:val="center"/>
              <w:textAlignment w:val="auto"/>
              <w:rPr>
                <w:rFonts w:hint="eastAsia" w:ascii="宋体" w:cs="仿宋_GB2312"/>
                <w:color w:val="FF0000"/>
                <w:spacing w:val="14"/>
                <w:szCs w:val="21"/>
                <w:highlight w:val="none"/>
              </w:rPr>
            </w:pPr>
            <w:r>
              <w:rPr>
                <w:rFonts w:hint="eastAsia" w:ascii="宋体" w:cs="仿宋_GB2312"/>
                <w:color w:val="000000" w:themeColor="text1"/>
                <w:spacing w:val="14"/>
                <w:szCs w:val="21"/>
                <w:highlight w:val="none"/>
                <w14:textFill>
                  <w14:solidFill>
                    <w14:schemeClr w14:val="tx1"/>
                  </w14:solidFill>
                </w14:textFill>
              </w:rPr>
              <w:t>资质等级</w:t>
            </w:r>
            <w:r>
              <w:rPr>
                <w:rFonts w:hint="eastAsia" w:ascii="宋体" w:cs="仿宋_GB2312"/>
                <w:color w:val="000000" w:themeColor="text1"/>
                <w:spacing w:val="14"/>
                <w:szCs w:val="21"/>
                <w:highlight w:val="none"/>
                <w:lang w:eastAsia="zh-CN"/>
                <w14:textFill>
                  <w14:solidFill>
                    <w14:schemeClr w14:val="tx1"/>
                  </w14:solidFill>
                </w14:textFill>
              </w:rPr>
              <w:t>或营业</w:t>
            </w:r>
            <w:r>
              <w:rPr>
                <w:rFonts w:hint="eastAsia" w:ascii="宋体" w:cs="仿宋_GB2312"/>
                <w:color w:val="000000" w:themeColor="text1"/>
                <w:spacing w:val="14"/>
                <w:szCs w:val="21"/>
                <w:highlight w:val="none"/>
                <w14:textFill>
                  <w14:solidFill>
                    <w14:schemeClr w14:val="tx1"/>
                  </w14:solidFill>
                </w14:textFill>
              </w:rPr>
              <w:t>范围</w:t>
            </w:r>
          </w:p>
        </w:tc>
        <w:tc>
          <w:tcPr>
            <w:tcW w:w="6434" w:type="dxa"/>
            <w:gridSpan w:val="3"/>
            <w:noWrap w:val="0"/>
            <w:vAlign w:val="center"/>
          </w:tcPr>
          <w:p w14:paraId="72D49783">
            <w:pPr>
              <w:pStyle w:val="7"/>
              <w:keepNext w:val="0"/>
              <w:keepLines w:val="0"/>
              <w:pageBreakBefore w:val="0"/>
              <w:kinsoku/>
              <w:wordWrap/>
              <w:overflowPunct/>
              <w:topLinePunct w:val="0"/>
              <w:bidi w:val="0"/>
              <w:adjustRightInd/>
              <w:spacing w:line="520" w:lineRule="exact"/>
              <w:jc w:val="center"/>
              <w:textAlignment w:val="auto"/>
              <w:rPr>
                <w:rFonts w:hint="eastAsia" w:ascii="宋体" w:cs="仿宋_GB2312"/>
                <w:color w:val="FF0000"/>
                <w:spacing w:val="14"/>
                <w:szCs w:val="21"/>
                <w:highlight w:val="none"/>
              </w:rPr>
            </w:pPr>
          </w:p>
        </w:tc>
      </w:tr>
      <w:tr w14:paraId="7F6EB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B9F44E0">
            <w:pPr>
              <w:pStyle w:val="7"/>
              <w:keepNext w:val="0"/>
              <w:keepLines w:val="0"/>
              <w:pageBreakBefore w:val="0"/>
              <w:kinsoku/>
              <w:wordWrap/>
              <w:overflowPunct/>
              <w:topLinePunct w:val="0"/>
              <w:bidi w:val="0"/>
              <w:adjustRightInd/>
              <w:spacing w:line="520" w:lineRule="exact"/>
              <w:jc w:val="center"/>
              <w:textAlignment w:val="auto"/>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167E58E8">
            <w:pPr>
              <w:pStyle w:val="7"/>
              <w:keepNext w:val="0"/>
              <w:keepLines w:val="0"/>
              <w:pageBreakBefore w:val="0"/>
              <w:kinsoku/>
              <w:wordWrap/>
              <w:overflowPunct/>
              <w:topLinePunct w:val="0"/>
              <w:bidi w:val="0"/>
              <w:adjustRightInd/>
              <w:spacing w:line="520" w:lineRule="exact"/>
              <w:jc w:val="center"/>
              <w:textAlignment w:val="auto"/>
              <w:rPr>
                <w:rFonts w:hint="eastAsia" w:ascii="宋体" w:cs="仿宋_GB2312"/>
                <w:color w:val="auto"/>
                <w:spacing w:val="14"/>
                <w:szCs w:val="21"/>
                <w:highlight w:val="none"/>
              </w:rPr>
            </w:pPr>
          </w:p>
        </w:tc>
        <w:tc>
          <w:tcPr>
            <w:tcW w:w="1440" w:type="dxa"/>
            <w:noWrap w:val="0"/>
            <w:vAlign w:val="center"/>
          </w:tcPr>
          <w:p w14:paraId="28A19B47">
            <w:pPr>
              <w:pStyle w:val="7"/>
              <w:keepNext w:val="0"/>
              <w:keepLines w:val="0"/>
              <w:pageBreakBefore w:val="0"/>
              <w:kinsoku/>
              <w:wordWrap/>
              <w:overflowPunct/>
              <w:topLinePunct w:val="0"/>
              <w:bidi w:val="0"/>
              <w:adjustRightInd/>
              <w:spacing w:line="520" w:lineRule="exact"/>
              <w:jc w:val="center"/>
              <w:textAlignment w:val="auto"/>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0C4714A2">
            <w:pPr>
              <w:pStyle w:val="7"/>
              <w:keepNext w:val="0"/>
              <w:keepLines w:val="0"/>
              <w:pageBreakBefore w:val="0"/>
              <w:kinsoku/>
              <w:wordWrap/>
              <w:overflowPunct/>
              <w:topLinePunct w:val="0"/>
              <w:bidi w:val="0"/>
              <w:adjustRightInd/>
              <w:spacing w:line="520" w:lineRule="exact"/>
              <w:jc w:val="center"/>
              <w:textAlignment w:val="auto"/>
              <w:rPr>
                <w:rFonts w:hint="eastAsia" w:ascii="宋体" w:cs="仿宋_GB2312"/>
                <w:color w:val="auto"/>
                <w:spacing w:val="14"/>
                <w:szCs w:val="21"/>
                <w:highlight w:val="none"/>
              </w:rPr>
            </w:pPr>
          </w:p>
        </w:tc>
      </w:tr>
      <w:tr w14:paraId="1FBE3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64253BC6">
            <w:pPr>
              <w:pStyle w:val="7"/>
              <w:keepNext w:val="0"/>
              <w:keepLines w:val="0"/>
              <w:pageBreakBefore w:val="0"/>
              <w:kinsoku/>
              <w:wordWrap/>
              <w:overflowPunct/>
              <w:topLinePunct w:val="0"/>
              <w:bidi w:val="0"/>
              <w:adjustRightInd/>
              <w:spacing w:line="520" w:lineRule="exact"/>
              <w:jc w:val="center"/>
              <w:textAlignment w:val="auto"/>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6DECB079">
            <w:pPr>
              <w:pStyle w:val="7"/>
              <w:keepNext w:val="0"/>
              <w:keepLines w:val="0"/>
              <w:pageBreakBefore w:val="0"/>
              <w:kinsoku/>
              <w:wordWrap/>
              <w:overflowPunct/>
              <w:topLinePunct w:val="0"/>
              <w:bidi w:val="0"/>
              <w:adjustRightInd/>
              <w:spacing w:line="520" w:lineRule="exact"/>
              <w:jc w:val="center"/>
              <w:textAlignment w:val="auto"/>
              <w:rPr>
                <w:rFonts w:hint="eastAsia" w:ascii="宋体" w:cs="仿宋_GB2312"/>
                <w:color w:val="auto"/>
                <w:spacing w:val="14"/>
                <w:szCs w:val="21"/>
                <w:highlight w:val="none"/>
              </w:rPr>
            </w:pPr>
          </w:p>
        </w:tc>
        <w:tc>
          <w:tcPr>
            <w:tcW w:w="1440" w:type="dxa"/>
            <w:noWrap w:val="0"/>
            <w:vAlign w:val="center"/>
          </w:tcPr>
          <w:p w14:paraId="6EE2F820">
            <w:pPr>
              <w:pStyle w:val="7"/>
              <w:keepNext w:val="0"/>
              <w:keepLines w:val="0"/>
              <w:pageBreakBefore w:val="0"/>
              <w:kinsoku/>
              <w:wordWrap/>
              <w:overflowPunct/>
              <w:topLinePunct w:val="0"/>
              <w:bidi w:val="0"/>
              <w:adjustRightInd/>
              <w:spacing w:line="520" w:lineRule="exact"/>
              <w:jc w:val="center"/>
              <w:textAlignment w:val="auto"/>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782DF5C2">
            <w:pPr>
              <w:pStyle w:val="7"/>
              <w:keepNext w:val="0"/>
              <w:keepLines w:val="0"/>
              <w:pageBreakBefore w:val="0"/>
              <w:kinsoku/>
              <w:wordWrap/>
              <w:overflowPunct/>
              <w:topLinePunct w:val="0"/>
              <w:bidi w:val="0"/>
              <w:adjustRightInd/>
              <w:spacing w:line="520" w:lineRule="exact"/>
              <w:jc w:val="center"/>
              <w:textAlignment w:val="auto"/>
              <w:rPr>
                <w:rFonts w:hint="eastAsia" w:ascii="宋体" w:cs="仿宋_GB2312"/>
                <w:color w:val="auto"/>
                <w:spacing w:val="14"/>
                <w:szCs w:val="21"/>
                <w:highlight w:val="none"/>
              </w:rPr>
            </w:pPr>
          </w:p>
        </w:tc>
      </w:tr>
      <w:tr w14:paraId="2F429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0E70AE32">
            <w:pPr>
              <w:pStyle w:val="7"/>
              <w:keepNext w:val="0"/>
              <w:keepLines w:val="0"/>
              <w:pageBreakBefore w:val="0"/>
              <w:kinsoku/>
              <w:wordWrap/>
              <w:overflowPunct/>
              <w:topLinePunct w:val="0"/>
              <w:bidi w:val="0"/>
              <w:adjustRightInd/>
              <w:spacing w:line="520" w:lineRule="exact"/>
              <w:jc w:val="center"/>
              <w:textAlignment w:val="auto"/>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1E4BE2CC">
            <w:pPr>
              <w:pStyle w:val="7"/>
              <w:keepNext w:val="0"/>
              <w:keepLines w:val="0"/>
              <w:pageBreakBefore w:val="0"/>
              <w:kinsoku/>
              <w:wordWrap/>
              <w:overflowPunct/>
              <w:topLinePunct w:val="0"/>
              <w:bidi w:val="0"/>
              <w:adjustRightInd/>
              <w:spacing w:line="520" w:lineRule="exact"/>
              <w:jc w:val="center"/>
              <w:textAlignment w:val="auto"/>
              <w:rPr>
                <w:rFonts w:hint="eastAsia" w:ascii="宋体" w:cs="仿宋_GB2312"/>
                <w:color w:val="auto"/>
                <w:spacing w:val="14"/>
                <w:szCs w:val="21"/>
                <w:highlight w:val="none"/>
              </w:rPr>
            </w:pPr>
          </w:p>
        </w:tc>
        <w:tc>
          <w:tcPr>
            <w:tcW w:w="1440" w:type="dxa"/>
            <w:noWrap w:val="0"/>
            <w:vAlign w:val="center"/>
          </w:tcPr>
          <w:p w14:paraId="1A5385DD">
            <w:pPr>
              <w:pStyle w:val="7"/>
              <w:keepNext w:val="0"/>
              <w:keepLines w:val="0"/>
              <w:pageBreakBefore w:val="0"/>
              <w:kinsoku/>
              <w:wordWrap/>
              <w:overflowPunct/>
              <w:topLinePunct w:val="0"/>
              <w:bidi w:val="0"/>
              <w:adjustRightInd/>
              <w:spacing w:line="520" w:lineRule="exact"/>
              <w:jc w:val="center"/>
              <w:textAlignment w:val="auto"/>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72530124">
            <w:pPr>
              <w:pStyle w:val="7"/>
              <w:keepNext w:val="0"/>
              <w:keepLines w:val="0"/>
              <w:pageBreakBefore w:val="0"/>
              <w:kinsoku/>
              <w:wordWrap/>
              <w:overflowPunct/>
              <w:topLinePunct w:val="0"/>
              <w:bidi w:val="0"/>
              <w:adjustRightInd/>
              <w:spacing w:line="520" w:lineRule="exact"/>
              <w:jc w:val="center"/>
              <w:textAlignment w:val="auto"/>
              <w:rPr>
                <w:rFonts w:hint="eastAsia" w:ascii="宋体" w:cs="仿宋_GB2312"/>
                <w:color w:val="auto"/>
                <w:spacing w:val="14"/>
                <w:szCs w:val="21"/>
                <w:highlight w:val="none"/>
              </w:rPr>
            </w:pPr>
          </w:p>
        </w:tc>
      </w:tr>
      <w:tr w14:paraId="5D126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C28A130">
            <w:pPr>
              <w:pStyle w:val="7"/>
              <w:keepNext w:val="0"/>
              <w:keepLines w:val="0"/>
              <w:pageBreakBefore w:val="0"/>
              <w:kinsoku/>
              <w:wordWrap/>
              <w:overflowPunct/>
              <w:topLinePunct w:val="0"/>
              <w:bidi w:val="0"/>
              <w:adjustRightInd/>
              <w:spacing w:line="520" w:lineRule="exact"/>
              <w:jc w:val="center"/>
              <w:textAlignment w:val="auto"/>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6434" w:type="dxa"/>
            <w:gridSpan w:val="3"/>
            <w:noWrap w:val="0"/>
            <w:vAlign w:val="center"/>
          </w:tcPr>
          <w:p w14:paraId="72D2D3E3">
            <w:pPr>
              <w:pStyle w:val="7"/>
              <w:keepNext w:val="0"/>
              <w:keepLines w:val="0"/>
              <w:pageBreakBefore w:val="0"/>
              <w:kinsoku/>
              <w:wordWrap/>
              <w:overflowPunct/>
              <w:topLinePunct w:val="0"/>
              <w:bidi w:val="0"/>
              <w:adjustRightInd/>
              <w:spacing w:line="520" w:lineRule="exact"/>
              <w:jc w:val="center"/>
              <w:textAlignment w:val="auto"/>
              <w:rPr>
                <w:rFonts w:hint="eastAsia" w:ascii="宋体" w:cs="仿宋_GB2312"/>
                <w:color w:val="FF0000"/>
                <w:spacing w:val="14"/>
                <w:szCs w:val="21"/>
                <w:highlight w:val="none"/>
              </w:rPr>
            </w:pPr>
          </w:p>
        </w:tc>
      </w:tr>
      <w:tr w14:paraId="20825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74537EBF">
            <w:pPr>
              <w:pStyle w:val="7"/>
              <w:keepNext w:val="0"/>
              <w:keepLines w:val="0"/>
              <w:pageBreakBefore w:val="0"/>
              <w:kinsoku/>
              <w:wordWrap/>
              <w:overflowPunct/>
              <w:topLinePunct w:val="0"/>
              <w:bidi w:val="0"/>
              <w:adjustRightInd/>
              <w:spacing w:line="520" w:lineRule="exact"/>
              <w:textAlignment w:val="auto"/>
              <w:rPr>
                <w:rFonts w:hint="eastAsia" w:ascii="宋体" w:cs="仿宋_GB2312"/>
                <w:color w:val="auto"/>
                <w:spacing w:val="14"/>
                <w:szCs w:val="21"/>
                <w:highlight w:val="none"/>
              </w:rPr>
            </w:pPr>
          </w:p>
          <w:p w14:paraId="32DE5025">
            <w:pPr>
              <w:pStyle w:val="7"/>
              <w:keepNext w:val="0"/>
              <w:keepLines w:val="0"/>
              <w:pageBreakBefore w:val="0"/>
              <w:kinsoku/>
              <w:wordWrap/>
              <w:overflowPunct/>
              <w:topLinePunct w:val="0"/>
              <w:bidi w:val="0"/>
              <w:adjustRightInd/>
              <w:spacing w:line="520" w:lineRule="exact"/>
              <w:ind w:firstLine="476" w:firstLineChars="200"/>
              <w:textAlignment w:val="auto"/>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19225AAB">
      <w:pPr>
        <w:pStyle w:val="7"/>
        <w:keepNext w:val="0"/>
        <w:keepLines w:val="0"/>
        <w:pageBreakBefore w:val="0"/>
        <w:kinsoku/>
        <w:wordWrap/>
        <w:overflowPunct/>
        <w:topLinePunct w:val="0"/>
        <w:bidi w:val="0"/>
        <w:adjustRightInd/>
        <w:spacing w:line="520" w:lineRule="exact"/>
        <w:textAlignment w:val="auto"/>
        <w:rPr>
          <w:rFonts w:hint="eastAsia" w:ascii="宋体" w:cs="仿宋_GB2312"/>
          <w:color w:val="auto"/>
          <w:spacing w:val="14"/>
          <w:sz w:val="24"/>
          <w:highlight w:val="none"/>
        </w:rPr>
      </w:pPr>
    </w:p>
    <w:p w14:paraId="483ED85C">
      <w:pPr>
        <w:pStyle w:val="7"/>
        <w:keepNext w:val="0"/>
        <w:keepLines w:val="0"/>
        <w:pageBreakBefore w:val="0"/>
        <w:kinsoku/>
        <w:wordWrap/>
        <w:overflowPunct/>
        <w:topLinePunct w:val="0"/>
        <w:autoSpaceDE w:val="0"/>
        <w:autoSpaceDN w:val="0"/>
        <w:bidi w:val="0"/>
        <w:adjustRightInd/>
        <w:snapToGrid w:val="0"/>
        <w:spacing w:line="520" w:lineRule="exact"/>
        <w:ind w:firstLine="720" w:firstLineChars="300"/>
        <w:textAlignment w:val="auto"/>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5E58DE31">
      <w:pPr>
        <w:pStyle w:val="7"/>
        <w:keepNext w:val="0"/>
        <w:keepLines w:val="0"/>
        <w:pageBreakBefore w:val="0"/>
        <w:kinsoku/>
        <w:wordWrap/>
        <w:overflowPunct/>
        <w:topLinePunct w:val="0"/>
        <w:autoSpaceDE w:val="0"/>
        <w:autoSpaceDN w:val="0"/>
        <w:bidi w:val="0"/>
        <w:adjustRightInd/>
        <w:snapToGrid w:val="0"/>
        <w:spacing w:line="520" w:lineRule="exact"/>
        <w:textAlignment w:val="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531D8FA7">
      <w:pPr>
        <w:pStyle w:val="7"/>
        <w:keepNext w:val="0"/>
        <w:keepLines w:val="0"/>
        <w:pageBreakBefore w:val="0"/>
        <w:kinsoku/>
        <w:wordWrap/>
        <w:overflowPunct/>
        <w:topLinePunct w:val="0"/>
        <w:autoSpaceDE w:val="0"/>
        <w:autoSpaceDN w:val="0"/>
        <w:bidi w:val="0"/>
        <w:adjustRightInd/>
        <w:snapToGrid w:val="0"/>
        <w:spacing w:line="520" w:lineRule="exact"/>
        <w:textAlignment w:val="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0C045057">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20" w:lineRule="exact"/>
        <w:textAlignment w:val="auto"/>
        <w:rPr>
          <w:rFonts w:hint="eastAsia"/>
          <w:color w:val="auto"/>
          <w:sz w:val="32"/>
          <w:szCs w:val="32"/>
          <w:highlight w:val="none"/>
        </w:rPr>
      </w:pPr>
      <w:r>
        <w:rPr>
          <w:rFonts w:hint="eastAsia"/>
          <w:color w:val="auto"/>
          <w:sz w:val="32"/>
          <w:szCs w:val="32"/>
          <w:highlight w:val="none"/>
        </w:rPr>
        <w:t> </w:t>
      </w:r>
    </w:p>
    <w:p w14:paraId="76EEA105">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20" w:lineRule="exact"/>
        <w:textAlignment w:val="auto"/>
        <w:rPr>
          <w:rFonts w:ascii="宋体" w:hAnsi="宋体" w:eastAsia="宋体" w:cs="宋体"/>
          <w:b/>
          <w:color w:val="auto"/>
          <w:sz w:val="24"/>
          <w:highlight w:val="none"/>
        </w:rPr>
      </w:pPr>
      <w:r>
        <w:rPr>
          <w:rFonts w:hint="eastAsia" w:ascii="宋体" w:hAnsi="宋体" w:eastAsia="宋体" w:cs="宋体"/>
          <w:b/>
          <w:color w:val="auto"/>
          <w:sz w:val="24"/>
          <w:highlight w:val="none"/>
        </w:rPr>
        <w:t>注：</w:t>
      </w:r>
    </w:p>
    <w:p w14:paraId="7F91465C">
      <w:pPr>
        <w:pStyle w:val="2"/>
        <w:keepNext w:val="0"/>
        <w:keepLines w:val="0"/>
        <w:pageBreakBefore w:val="0"/>
        <w:widowControl w:val="0"/>
        <w:tabs>
          <w:tab w:val="left" w:pos="1000"/>
        </w:tabs>
        <w:kinsoku/>
        <w:wordWrap/>
        <w:overflowPunct/>
        <w:topLinePunct w:val="0"/>
        <w:autoSpaceDE/>
        <w:autoSpaceDN/>
        <w:bidi w:val="0"/>
        <w:adjustRightInd/>
        <w:snapToGrid/>
        <w:spacing w:line="520" w:lineRule="exact"/>
        <w:ind w:firstLine="420"/>
        <w:textAlignment w:val="auto"/>
        <w:rPr>
          <w:rFonts w:hint="eastAsia" w:ascii="宋体"/>
          <w:b/>
          <w:color w:val="auto"/>
          <w:sz w:val="22"/>
          <w:szCs w:val="22"/>
          <w:highlight w:val="none"/>
          <w:u w:val="none"/>
          <w:lang w:eastAsia="zh-CN"/>
        </w:rPr>
      </w:pPr>
      <w:r>
        <w:rPr>
          <w:rFonts w:hint="eastAsia" w:ascii="宋体" w:hAnsi="宋体" w:eastAsia="宋体" w:cs="宋体"/>
          <w:b/>
          <w:color w:val="auto"/>
          <w:szCs w:val="21"/>
          <w:highlight w:val="none"/>
        </w:rPr>
        <w:t>（1）</w:t>
      </w:r>
      <w:r>
        <w:rPr>
          <w:rFonts w:hint="eastAsia" w:ascii="宋体" w:hAnsi="宋体" w:eastAsia="宋体" w:cs="宋体"/>
          <w:b/>
          <w:color w:val="auto"/>
          <w:szCs w:val="21"/>
          <w:highlight w:val="none"/>
          <w:u w:val="double"/>
          <w:lang w:eastAsia="zh-CN"/>
        </w:rPr>
        <w:t>须附上营业执照复印件、法定代表人身份证复印件，并加盖单位公章</w:t>
      </w:r>
      <w:r>
        <w:rPr>
          <w:rFonts w:hint="eastAsia" w:ascii="宋体"/>
          <w:b/>
          <w:color w:val="auto"/>
          <w:sz w:val="22"/>
          <w:szCs w:val="22"/>
          <w:highlight w:val="none"/>
          <w:u w:val="none"/>
          <w:lang w:eastAsia="zh-CN"/>
        </w:rPr>
        <w:t>；</w:t>
      </w:r>
    </w:p>
    <w:p w14:paraId="0B3F94E3">
      <w:pPr>
        <w:pStyle w:val="2"/>
        <w:keepNext w:val="0"/>
        <w:keepLines w:val="0"/>
        <w:pageBreakBefore w:val="0"/>
        <w:widowControl w:val="0"/>
        <w:tabs>
          <w:tab w:val="left" w:pos="1000"/>
        </w:tabs>
        <w:kinsoku/>
        <w:wordWrap/>
        <w:overflowPunct/>
        <w:topLinePunct w:val="0"/>
        <w:autoSpaceDE/>
        <w:autoSpaceDN/>
        <w:bidi w:val="0"/>
        <w:adjustRightInd/>
        <w:snapToGrid/>
        <w:spacing w:line="520" w:lineRule="exact"/>
        <w:ind w:firstLine="420"/>
        <w:textAlignment w:val="auto"/>
        <w:rPr>
          <w:rFonts w:hint="eastAsia" w:ascii="宋体" w:hAnsi="宋体" w:eastAsia="宋体" w:cs="宋体"/>
          <w:b/>
          <w:color w:val="auto"/>
          <w:szCs w:val="21"/>
          <w:highlight w:val="none"/>
          <w:u w:val="none"/>
          <w:lang w:eastAsia="zh-CN"/>
        </w:rPr>
      </w:pPr>
      <w:r>
        <w:rPr>
          <w:rFonts w:hint="eastAsia" w:ascii="宋体" w:hAnsi="宋体" w:eastAsia="宋体" w:cs="宋体"/>
          <w:b/>
          <w:color w:val="auto"/>
          <w:szCs w:val="21"/>
          <w:highlight w:val="none"/>
          <w:u w:val="none"/>
          <w:lang w:eastAsia="zh-CN"/>
        </w:rPr>
        <w:t>（</w:t>
      </w:r>
      <w:r>
        <w:rPr>
          <w:rFonts w:hint="eastAsia" w:ascii="宋体" w:hAnsi="宋体" w:eastAsia="宋体" w:cs="宋体"/>
          <w:b/>
          <w:color w:val="auto"/>
          <w:szCs w:val="21"/>
          <w:highlight w:val="none"/>
          <w:u w:val="none"/>
          <w:lang w:val="en-US" w:eastAsia="zh-CN"/>
        </w:rPr>
        <w:t>2</w:t>
      </w:r>
      <w:r>
        <w:rPr>
          <w:rFonts w:hint="eastAsia" w:ascii="宋体" w:hAnsi="宋体" w:eastAsia="宋体" w:cs="宋体"/>
          <w:b/>
          <w:color w:val="auto"/>
          <w:szCs w:val="21"/>
          <w:highlight w:val="none"/>
          <w:u w:val="none"/>
          <w:lang w:eastAsia="zh-CN"/>
        </w:rPr>
        <w:t>）</w:t>
      </w:r>
      <w:r>
        <w:rPr>
          <w:rFonts w:hint="eastAsia" w:ascii="宋体" w:hAnsi="宋体" w:eastAsia="宋体" w:cs="宋体"/>
          <w:b/>
          <w:color w:val="auto"/>
          <w:szCs w:val="21"/>
          <w:highlight w:val="none"/>
          <w:u w:val="double"/>
          <w:lang w:eastAsia="zh-CN"/>
        </w:rPr>
        <w:t>须附上比选申请人及其现任法定代表人未被列入全国失信被执行人名单截图证明材料复印件（查询网址：</w:t>
      </w:r>
      <w:r>
        <w:rPr>
          <w:rFonts w:hint="eastAsia" w:ascii="宋体" w:hAnsi="宋体" w:eastAsia="宋体" w:cs="宋体"/>
          <w:b/>
          <w:color w:val="auto"/>
          <w:szCs w:val="21"/>
          <w:highlight w:val="none"/>
          <w:u w:val="double"/>
          <w:lang w:eastAsia="zh-CN"/>
        </w:rPr>
        <w:fldChar w:fldCharType="begin"/>
      </w:r>
      <w:r>
        <w:rPr>
          <w:rFonts w:hint="eastAsia" w:ascii="宋体" w:hAnsi="宋体" w:eastAsia="宋体" w:cs="宋体"/>
          <w:b/>
          <w:color w:val="auto"/>
          <w:szCs w:val="21"/>
          <w:highlight w:val="none"/>
          <w:u w:val="double"/>
          <w:lang w:eastAsia="zh-CN"/>
        </w:rPr>
        <w:instrText xml:space="preserve"> HYPERLINK "http://zxgk.court.gov.cn/shixin/），并加盖单位公章；" </w:instrText>
      </w:r>
      <w:r>
        <w:rPr>
          <w:rFonts w:hint="eastAsia" w:ascii="宋体" w:hAnsi="宋体" w:eastAsia="宋体" w:cs="宋体"/>
          <w:b/>
          <w:color w:val="auto"/>
          <w:szCs w:val="21"/>
          <w:highlight w:val="none"/>
          <w:u w:val="double"/>
          <w:lang w:eastAsia="zh-CN"/>
        </w:rPr>
        <w:fldChar w:fldCharType="separate"/>
      </w:r>
      <w:r>
        <w:rPr>
          <w:rFonts w:hint="eastAsia" w:ascii="宋体" w:hAnsi="宋体" w:eastAsia="宋体" w:cs="宋体"/>
          <w:b/>
          <w:color w:val="auto"/>
          <w:szCs w:val="21"/>
          <w:highlight w:val="none"/>
          <w:u w:val="double"/>
          <w:lang w:eastAsia="zh-CN"/>
        </w:rPr>
        <w:t>http://zxgk.court.gov.cn/shixin/）</w:t>
      </w:r>
      <w:r>
        <w:rPr>
          <w:rFonts w:hint="eastAsia" w:ascii="宋体" w:hAnsi="宋体" w:eastAsia="宋体" w:cs="宋体"/>
          <w:b/>
          <w:color w:val="auto"/>
          <w:szCs w:val="21"/>
          <w:highlight w:val="none"/>
          <w:u w:val="double"/>
          <w:lang w:eastAsia="zh-CN"/>
        </w:rPr>
        <w:fldChar w:fldCharType="end"/>
      </w:r>
      <w:r>
        <w:rPr>
          <w:rFonts w:hint="eastAsia" w:ascii="宋体" w:hAnsi="宋体" w:eastAsia="宋体" w:cs="宋体"/>
          <w:b/>
          <w:color w:val="auto"/>
          <w:szCs w:val="21"/>
          <w:highlight w:val="none"/>
          <w:u w:val="double"/>
          <w:lang w:eastAsia="zh-CN"/>
        </w:rPr>
        <w:t>，并加盖单位公章</w:t>
      </w:r>
      <w:r>
        <w:rPr>
          <w:rFonts w:hint="eastAsia" w:ascii="宋体" w:hAnsi="宋体" w:eastAsia="宋体" w:cs="宋体"/>
          <w:b/>
          <w:color w:val="auto"/>
          <w:szCs w:val="21"/>
          <w:highlight w:val="none"/>
          <w:u w:val="none"/>
          <w:lang w:eastAsia="zh-CN"/>
        </w:rPr>
        <w:t>；</w:t>
      </w:r>
    </w:p>
    <w:p w14:paraId="65709440">
      <w:pPr>
        <w:pStyle w:val="2"/>
        <w:keepNext w:val="0"/>
        <w:keepLines w:val="0"/>
        <w:pageBreakBefore w:val="0"/>
        <w:widowControl w:val="0"/>
        <w:tabs>
          <w:tab w:val="left" w:pos="1000"/>
        </w:tabs>
        <w:kinsoku/>
        <w:wordWrap/>
        <w:overflowPunct/>
        <w:topLinePunct w:val="0"/>
        <w:autoSpaceDE/>
        <w:autoSpaceDN/>
        <w:bidi w:val="0"/>
        <w:adjustRightInd/>
        <w:snapToGrid/>
        <w:spacing w:line="520" w:lineRule="exact"/>
        <w:ind w:firstLine="420"/>
        <w:textAlignment w:val="auto"/>
        <w:rPr>
          <w:rFonts w:hint="eastAsia" w:ascii="宋体" w:hAnsi="宋体" w:eastAsia="宋体" w:cs="宋体"/>
          <w:b/>
          <w:color w:val="auto"/>
          <w:szCs w:val="21"/>
          <w:highlight w:val="none"/>
          <w:u w:val="none"/>
        </w:rPr>
      </w:pPr>
      <w:r>
        <w:rPr>
          <w:rFonts w:hint="eastAsia" w:ascii="宋体" w:hAnsi="宋体" w:eastAsia="宋体" w:cs="宋体"/>
          <w:b/>
          <w:color w:val="auto"/>
          <w:szCs w:val="21"/>
          <w:highlight w:val="none"/>
          <w:u w:val="none"/>
          <w:lang w:eastAsia="zh-CN"/>
        </w:rPr>
        <w:t>（</w:t>
      </w:r>
      <w:r>
        <w:rPr>
          <w:rFonts w:hint="eastAsia" w:ascii="宋体" w:hAnsi="宋体" w:eastAsia="宋体" w:cs="宋体"/>
          <w:b/>
          <w:color w:val="auto"/>
          <w:szCs w:val="21"/>
          <w:highlight w:val="none"/>
          <w:u w:val="none"/>
          <w:lang w:val="en-US" w:eastAsia="zh-CN"/>
        </w:rPr>
        <w:t>3</w:t>
      </w:r>
      <w:r>
        <w:rPr>
          <w:rFonts w:hint="eastAsia" w:ascii="宋体" w:hAnsi="宋体" w:eastAsia="宋体" w:cs="宋体"/>
          <w:b/>
          <w:color w:val="auto"/>
          <w:szCs w:val="21"/>
          <w:highlight w:val="none"/>
          <w:u w:val="none"/>
          <w:lang w:eastAsia="zh-CN"/>
        </w:rPr>
        <w:t>）</w:t>
      </w:r>
      <w:r>
        <w:rPr>
          <w:rFonts w:hint="eastAsia" w:ascii="宋体" w:hAnsi="宋体" w:eastAsia="宋体" w:cs="宋体"/>
          <w:b/>
          <w:color w:val="auto"/>
          <w:szCs w:val="21"/>
          <w:highlight w:val="none"/>
          <w:u w:val="double"/>
          <w:lang w:eastAsia="zh-CN"/>
        </w:rPr>
        <w:t>上述各类证书发生变更的</w:t>
      </w:r>
      <w:r>
        <w:rPr>
          <w:rFonts w:hint="eastAsia" w:ascii="宋体" w:hAnsi="宋体" w:eastAsia="宋体" w:cs="宋体"/>
          <w:b/>
          <w:color w:val="auto"/>
          <w:szCs w:val="21"/>
          <w:highlight w:val="none"/>
          <w:u w:val="double"/>
        </w:rPr>
        <w:t>，应办理完变更手续方可参加比选，并以发证机关核准的变更为准；否则为证书无效进行评定</w:t>
      </w:r>
      <w:r>
        <w:rPr>
          <w:rFonts w:hint="eastAsia" w:ascii="宋体" w:hAnsi="宋体" w:eastAsia="宋体" w:cs="宋体"/>
          <w:b/>
          <w:color w:val="auto"/>
          <w:szCs w:val="21"/>
          <w:highlight w:val="none"/>
          <w:u w:val="none"/>
        </w:rPr>
        <w:t>。</w:t>
      </w:r>
    </w:p>
    <w:p w14:paraId="50425B45">
      <w:pPr>
        <w:keepNext w:val="0"/>
        <w:keepLines w:val="0"/>
        <w:pageBreakBefore w:val="0"/>
        <w:kinsoku/>
        <w:wordWrap/>
        <w:overflowPunct/>
        <w:topLinePunct w:val="0"/>
        <w:bidi w:val="0"/>
        <w:adjustRightInd/>
        <w:spacing w:line="520" w:lineRule="exact"/>
        <w:textAlignment w:val="auto"/>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561E21C2">
      <w:pPr>
        <w:keepNext w:val="0"/>
        <w:keepLines w:val="0"/>
        <w:pageBreakBefore w:val="0"/>
        <w:kinsoku/>
        <w:wordWrap/>
        <w:overflowPunct/>
        <w:topLinePunct w:val="0"/>
        <w:bidi w:val="0"/>
        <w:adjustRightInd/>
        <w:spacing w:line="520" w:lineRule="exact"/>
        <w:textAlignment w:val="auto"/>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41046900">
      <w:pPr>
        <w:pStyle w:val="4"/>
        <w:keepNext w:val="0"/>
        <w:keepLines w:val="0"/>
        <w:pageBreakBefore w:val="0"/>
        <w:shd w:val="clear" w:color="auto" w:fill="FFFFFF"/>
        <w:kinsoku/>
        <w:wordWrap/>
        <w:overflowPunct/>
        <w:topLinePunct w:val="0"/>
        <w:bidi w:val="0"/>
        <w:adjustRightInd/>
        <w:spacing w:beforeLines="50" w:beforeAutospacing="0" w:afterLines="50" w:afterAutospacing="0" w:line="520" w:lineRule="exact"/>
        <w:jc w:val="center"/>
        <w:textAlignment w:val="auto"/>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6CF4F0D2">
      <w:pPr>
        <w:pStyle w:val="4"/>
        <w:keepNext w:val="0"/>
        <w:keepLines w:val="0"/>
        <w:pageBreakBefore w:val="0"/>
        <w:shd w:val="clear" w:color="auto" w:fill="FFFFFF"/>
        <w:kinsoku/>
        <w:wordWrap/>
        <w:overflowPunct/>
        <w:topLinePunct w:val="0"/>
        <w:bidi w:val="0"/>
        <w:adjustRightInd/>
        <w:spacing w:before="0" w:beforeAutospacing="0" w:after="0" w:afterAutospacing="0" w:line="520" w:lineRule="exact"/>
        <w:ind w:firstLine="640"/>
        <w:textAlignment w:val="auto"/>
        <w:rPr>
          <w:color w:val="auto"/>
          <w:highlight w:val="none"/>
          <w:shd w:val="clear" w:color="auto" w:fill="FFFFFF"/>
        </w:rPr>
      </w:pPr>
    </w:p>
    <w:p w14:paraId="59404AC3">
      <w:pPr>
        <w:pStyle w:val="4"/>
        <w:keepNext w:val="0"/>
        <w:keepLines w:val="0"/>
        <w:pageBreakBefore w:val="0"/>
        <w:kinsoku/>
        <w:wordWrap/>
        <w:overflowPunct/>
        <w:topLinePunct w:val="0"/>
        <w:bidi w:val="0"/>
        <w:adjustRightInd/>
        <w:spacing w:before="0" w:beforeAutospacing="0" w:after="0" w:afterAutospacing="0" w:line="520" w:lineRule="exact"/>
        <w:ind w:firstLine="640"/>
        <w:jc w:val="both"/>
        <w:textAlignment w:val="auto"/>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42284258">
      <w:pPr>
        <w:pStyle w:val="4"/>
        <w:keepNext w:val="0"/>
        <w:keepLines w:val="0"/>
        <w:pageBreakBefore w:val="0"/>
        <w:kinsoku/>
        <w:wordWrap/>
        <w:overflowPunct/>
        <w:topLinePunct w:val="0"/>
        <w:bidi w:val="0"/>
        <w:adjustRightInd/>
        <w:spacing w:before="0" w:beforeAutospacing="0" w:after="0" w:afterAutospacing="0" w:line="520" w:lineRule="exact"/>
        <w:ind w:firstLine="640"/>
        <w:jc w:val="both"/>
        <w:textAlignment w:val="auto"/>
        <w:rPr>
          <w:color w:val="auto"/>
          <w:highlight w:val="none"/>
        </w:rPr>
      </w:pPr>
      <w:r>
        <w:rPr>
          <w:rFonts w:hint="eastAsia"/>
          <w:color w:val="auto"/>
          <w:highlight w:val="none"/>
        </w:rPr>
        <w:t> </w:t>
      </w:r>
    </w:p>
    <w:p w14:paraId="23E55E5C">
      <w:pPr>
        <w:pStyle w:val="4"/>
        <w:keepNext w:val="0"/>
        <w:keepLines w:val="0"/>
        <w:pageBreakBefore w:val="0"/>
        <w:shd w:val="clear" w:color="auto" w:fill="FFFFFF"/>
        <w:kinsoku/>
        <w:wordWrap/>
        <w:overflowPunct/>
        <w:topLinePunct w:val="0"/>
        <w:bidi w:val="0"/>
        <w:adjustRightInd/>
        <w:spacing w:before="0" w:beforeAutospacing="0" w:after="0" w:afterAutospacing="0" w:line="520" w:lineRule="exact"/>
        <w:ind w:right="474"/>
        <w:jc w:val="righ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30B60097">
      <w:pPr>
        <w:pStyle w:val="4"/>
        <w:keepNext w:val="0"/>
        <w:keepLines w:val="0"/>
        <w:pageBreakBefore w:val="0"/>
        <w:shd w:val="clear" w:color="auto" w:fill="FFFFFF"/>
        <w:kinsoku/>
        <w:wordWrap/>
        <w:overflowPunct/>
        <w:topLinePunct w:val="0"/>
        <w:bidi w:val="0"/>
        <w:adjustRightInd/>
        <w:spacing w:before="0" w:beforeAutospacing="0" w:after="0" w:afterAutospacing="0" w:line="520" w:lineRule="exact"/>
        <w:ind w:right="474"/>
        <w:jc w:val="righ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E0628D5">
      <w:pPr>
        <w:pStyle w:val="4"/>
        <w:keepNext w:val="0"/>
        <w:keepLines w:val="0"/>
        <w:pageBreakBefore w:val="0"/>
        <w:shd w:val="clear" w:color="auto" w:fill="FFFFFF"/>
        <w:kinsoku/>
        <w:wordWrap/>
        <w:overflowPunct/>
        <w:topLinePunct w:val="0"/>
        <w:bidi w:val="0"/>
        <w:adjustRightInd/>
        <w:spacing w:before="0" w:beforeAutospacing="0" w:after="0" w:afterAutospacing="0" w:line="520" w:lineRule="exact"/>
        <w:ind w:right="474" w:firstLine="2400" w:firstLineChars="1000"/>
        <w:jc w:val="righ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49033462">
      <w:pPr>
        <w:pStyle w:val="4"/>
        <w:keepNext w:val="0"/>
        <w:keepLines w:val="0"/>
        <w:pageBreakBefore w:val="0"/>
        <w:shd w:val="clear" w:color="auto" w:fill="FFFFFF"/>
        <w:kinsoku/>
        <w:wordWrap/>
        <w:overflowPunct/>
        <w:topLinePunct w:val="0"/>
        <w:bidi w:val="0"/>
        <w:adjustRightInd/>
        <w:spacing w:before="0" w:beforeAutospacing="0" w:after="0" w:afterAutospacing="0" w:line="520" w:lineRule="exact"/>
        <w:ind w:right="474"/>
        <w:jc w:val="righ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1B115F7E">
      <w:pPr>
        <w:pStyle w:val="4"/>
        <w:keepNext w:val="0"/>
        <w:keepLines w:val="0"/>
        <w:pageBreakBefore w:val="0"/>
        <w:shd w:val="clear" w:color="auto" w:fill="FFFFFF"/>
        <w:kinsoku/>
        <w:wordWrap/>
        <w:overflowPunct/>
        <w:topLinePunct w:val="0"/>
        <w:bidi w:val="0"/>
        <w:adjustRightInd/>
        <w:spacing w:before="0" w:beforeAutospacing="0" w:after="0" w:afterAutospacing="0" w:line="520" w:lineRule="exact"/>
        <w:ind w:right="474"/>
        <w:jc w:val="right"/>
        <w:textAlignment w:val="auto"/>
        <w:rPr>
          <w:rFonts w:hint="eastAsia" w:ascii="仿宋" w:hAnsi="仿宋" w:eastAsia="仿宋"/>
          <w:color w:val="auto"/>
          <w:sz w:val="32"/>
          <w:szCs w:val="32"/>
          <w:highlight w:val="none"/>
        </w:rPr>
      </w:pPr>
    </w:p>
    <w:p w14:paraId="2047343E">
      <w:pPr>
        <w:pStyle w:val="4"/>
        <w:keepNext w:val="0"/>
        <w:keepLines w:val="0"/>
        <w:pageBreakBefore w:val="0"/>
        <w:shd w:val="clear" w:color="auto" w:fill="FFFFFF"/>
        <w:kinsoku/>
        <w:wordWrap/>
        <w:overflowPunct/>
        <w:topLinePunct w:val="0"/>
        <w:bidi w:val="0"/>
        <w:adjustRightInd/>
        <w:spacing w:before="0" w:beforeAutospacing="0" w:after="0" w:afterAutospacing="0" w:line="520" w:lineRule="exact"/>
        <w:ind w:right="474"/>
        <w:jc w:val="right"/>
        <w:textAlignment w:val="auto"/>
        <w:rPr>
          <w:rFonts w:hint="eastAsia" w:ascii="仿宋" w:hAnsi="仿宋" w:eastAsia="仿宋"/>
          <w:color w:val="auto"/>
          <w:sz w:val="32"/>
          <w:szCs w:val="32"/>
          <w:highlight w:val="none"/>
        </w:rPr>
      </w:pPr>
    </w:p>
    <w:p w14:paraId="7FDD32FB">
      <w:pPr>
        <w:pStyle w:val="4"/>
        <w:keepNext w:val="0"/>
        <w:keepLines w:val="0"/>
        <w:pageBreakBefore w:val="0"/>
        <w:shd w:val="clear" w:color="auto" w:fill="FFFFFF"/>
        <w:kinsoku/>
        <w:wordWrap/>
        <w:overflowPunct/>
        <w:topLinePunct w:val="0"/>
        <w:bidi w:val="0"/>
        <w:adjustRightInd/>
        <w:spacing w:before="0" w:beforeAutospacing="0" w:after="0" w:afterAutospacing="0" w:line="520" w:lineRule="exact"/>
        <w:ind w:right="474"/>
        <w:jc w:val="right"/>
        <w:textAlignment w:val="auto"/>
        <w:rPr>
          <w:color w:val="auto"/>
          <w:highlight w:val="none"/>
          <w:shd w:val="clear" w:color="auto" w:fill="FFFFFF"/>
        </w:rPr>
      </w:pPr>
    </w:p>
    <w:p w14:paraId="766779F0">
      <w:pPr>
        <w:pStyle w:val="4"/>
        <w:keepNext w:val="0"/>
        <w:keepLines w:val="0"/>
        <w:pageBreakBefore w:val="0"/>
        <w:widowControl/>
        <w:suppressLineNumbers w:val="0"/>
        <w:kinsoku/>
        <w:wordWrap/>
        <w:overflowPunct/>
        <w:topLinePunct w:val="0"/>
        <w:bidi w:val="0"/>
        <w:adjustRightInd/>
        <w:spacing w:before="0" w:beforeAutospacing="1" w:after="0" w:afterAutospacing="1" w:line="520" w:lineRule="exact"/>
        <w:ind w:left="63" w:right="63" w:firstLine="400"/>
        <w:textAlignment w:val="auto"/>
        <w:rPr>
          <w:color w:val="auto"/>
          <w:sz w:val="24"/>
          <w:szCs w:val="24"/>
          <w:highlight w:val="none"/>
          <w:u w:val="none"/>
        </w:rPr>
        <w:sectPr>
          <w:pgSz w:w="11906" w:h="16838"/>
          <w:pgMar w:top="1440" w:right="1800" w:bottom="1440" w:left="1800" w:header="851" w:footer="992" w:gutter="0"/>
          <w:cols w:space="425" w:num="1"/>
          <w:docGrid w:type="lines" w:linePitch="312" w:charSpace="0"/>
        </w:sectPr>
      </w:pPr>
      <w:r>
        <w:rPr>
          <w:b/>
          <w:bCs/>
          <w:color w:val="auto"/>
          <w:sz w:val="24"/>
          <w:szCs w:val="24"/>
          <w:highlight w:val="none"/>
        </w:rPr>
        <w:t>注：</w:t>
      </w:r>
      <w:r>
        <w:rPr>
          <w:b/>
          <w:bCs/>
          <w:color w:val="auto"/>
          <w:sz w:val="24"/>
          <w:szCs w:val="24"/>
          <w:highlight w:val="none"/>
          <w:u w:val="double"/>
        </w:rPr>
        <w:t>比选申请人须提供委托代理人身份证复印件并加盖单位公章</w:t>
      </w:r>
      <w:r>
        <w:rPr>
          <w:b/>
          <w:bCs/>
          <w:color w:val="auto"/>
          <w:sz w:val="24"/>
          <w:szCs w:val="24"/>
          <w:highlight w:val="none"/>
          <w:u w:val="none"/>
        </w:rPr>
        <w:t>。</w:t>
      </w:r>
      <w:r>
        <w:rPr>
          <w:color w:val="auto"/>
          <w:sz w:val="24"/>
          <w:szCs w:val="24"/>
          <w:highlight w:val="none"/>
          <w:u w:val="none"/>
        </w:rPr>
        <w:t xml:space="preserve"> </w:t>
      </w:r>
    </w:p>
    <w:p w14:paraId="11FD801A">
      <w:pPr>
        <w:pStyle w:val="4"/>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报价函格式</w:t>
      </w:r>
    </w:p>
    <w:p w14:paraId="2A6AB417">
      <w:pPr>
        <w:pStyle w:val="4"/>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5"/>
        <w:tblW w:w="8326" w:type="dxa"/>
        <w:jc w:val="center"/>
        <w:tblLayout w:type="autofit"/>
        <w:tblCellMar>
          <w:top w:w="0" w:type="dxa"/>
          <w:left w:w="0" w:type="dxa"/>
          <w:bottom w:w="0" w:type="dxa"/>
          <w:right w:w="0" w:type="dxa"/>
        </w:tblCellMar>
      </w:tblPr>
      <w:tblGrid>
        <w:gridCol w:w="2329"/>
        <w:gridCol w:w="5997"/>
      </w:tblGrid>
      <w:tr w14:paraId="435CF44C">
        <w:tblPrEx>
          <w:tblCellMar>
            <w:top w:w="0" w:type="dxa"/>
            <w:left w:w="0" w:type="dxa"/>
            <w:bottom w:w="0" w:type="dxa"/>
            <w:right w:w="0" w:type="dxa"/>
          </w:tblCellMar>
        </w:tblPrEx>
        <w:trPr>
          <w:trHeight w:val="100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1B8B901B">
            <w:pPr>
              <w:jc w:val="center"/>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14:paraId="5A37E105">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三明城发物业有限公司各项目停车场出入口道闸广告位租赁</w:t>
            </w:r>
          </w:p>
        </w:tc>
      </w:tr>
      <w:tr w14:paraId="749FC36D">
        <w:tblPrEx>
          <w:tblCellMar>
            <w:top w:w="0" w:type="dxa"/>
            <w:left w:w="0" w:type="dxa"/>
            <w:bottom w:w="0" w:type="dxa"/>
            <w:right w:w="0" w:type="dxa"/>
          </w:tblCellMar>
        </w:tblPrEx>
        <w:trPr>
          <w:trHeight w:val="64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400EA694">
            <w:pPr>
              <w:jc w:val="center"/>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14:paraId="42DE4CF4">
            <w:pPr>
              <w:jc w:val="center"/>
              <w:rPr>
                <w:rFonts w:hint="eastAsia" w:ascii="宋体" w:hAnsi="宋体" w:eastAsia="宋体" w:cs="宋体"/>
                <w:kern w:val="0"/>
                <w:sz w:val="24"/>
                <w:szCs w:val="24"/>
                <w:highlight w:val="none"/>
                <w:lang w:val="en-US" w:eastAsia="zh-CN" w:bidi="ar-SA"/>
              </w:rPr>
            </w:pPr>
          </w:p>
        </w:tc>
      </w:tr>
      <w:tr w14:paraId="457D1DF9">
        <w:tblPrEx>
          <w:tblCellMar>
            <w:top w:w="0" w:type="dxa"/>
            <w:left w:w="0" w:type="dxa"/>
            <w:bottom w:w="0" w:type="dxa"/>
            <w:right w:w="0" w:type="dxa"/>
          </w:tblCellMar>
        </w:tblPrEx>
        <w:trPr>
          <w:trHeight w:val="751" w:hRule="atLeast"/>
          <w:jc w:val="center"/>
        </w:trPr>
        <w:tc>
          <w:tcPr>
            <w:tcW w:w="2329" w:type="dxa"/>
            <w:tcBorders>
              <w:top w:val="single" w:color="auto" w:sz="8" w:space="0"/>
              <w:left w:val="single" w:color="auto" w:sz="8" w:space="0"/>
              <w:bottom w:val="nil"/>
              <w:right w:val="single" w:color="auto" w:sz="8" w:space="0"/>
            </w:tcBorders>
            <w:vAlign w:val="center"/>
          </w:tcPr>
          <w:p w14:paraId="7643AAA2">
            <w:pPr>
              <w:tabs>
                <w:tab w:val="left" w:pos="420"/>
                <w:tab w:val="left" w:pos="630"/>
              </w:tabs>
              <w:spacing w:after="120" w:afterLines="50" w:line="4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道杆数量</w:t>
            </w:r>
          </w:p>
        </w:tc>
        <w:tc>
          <w:tcPr>
            <w:tcW w:w="5997" w:type="dxa"/>
            <w:tcBorders>
              <w:top w:val="single" w:color="auto" w:sz="8" w:space="0"/>
              <w:left w:val="single" w:color="auto" w:sz="8" w:space="0"/>
              <w:bottom w:val="nil"/>
              <w:right w:val="single" w:color="auto" w:sz="8" w:space="0"/>
            </w:tcBorders>
            <w:vAlign w:val="center"/>
          </w:tcPr>
          <w:p w14:paraId="0B689099">
            <w:pPr>
              <w:tabs>
                <w:tab w:val="left" w:pos="420"/>
                <w:tab w:val="left" w:pos="630"/>
              </w:tabs>
              <w:spacing w:after="120" w:afterLines="50" w:line="480" w:lineRule="exact"/>
              <w:jc w:val="center"/>
              <w:rPr>
                <w:rFonts w:hint="default" w:ascii="宋体" w:hAnsi="宋体" w:eastAsia="宋体" w:cs="宋体"/>
                <w:color w:val="auto"/>
                <w:kern w:val="0"/>
                <w:sz w:val="24"/>
                <w:szCs w:val="24"/>
                <w:highlight w:val="none"/>
                <w:u w:val="single"/>
                <w:lang w:val="en-US" w:eastAsia="zh-CN" w:bidi="ar-SA"/>
              </w:rPr>
            </w:pPr>
            <w:r>
              <w:rPr>
                <w:rFonts w:hint="eastAsia" w:ascii="宋体" w:hAnsi="宋体" w:eastAsia="宋体" w:cs="宋体"/>
                <w:color w:val="auto"/>
                <w:kern w:val="0"/>
                <w:sz w:val="24"/>
                <w:szCs w:val="24"/>
                <w:highlight w:val="none"/>
                <w:u w:val="single"/>
                <w:lang w:val="en-US" w:eastAsia="zh-CN" w:bidi="ar-SA"/>
              </w:rPr>
              <w:t>57个（具体详见清单）</w:t>
            </w:r>
          </w:p>
        </w:tc>
      </w:tr>
      <w:tr w14:paraId="72444AC0">
        <w:tblPrEx>
          <w:tblCellMar>
            <w:top w:w="0" w:type="dxa"/>
            <w:left w:w="0" w:type="dxa"/>
            <w:bottom w:w="0" w:type="dxa"/>
            <w:right w:w="0" w:type="dxa"/>
          </w:tblCellMar>
        </w:tblPrEx>
        <w:trPr>
          <w:trHeight w:val="856" w:hRule="atLeast"/>
          <w:jc w:val="center"/>
        </w:trPr>
        <w:tc>
          <w:tcPr>
            <w:tcW w:w="2329" w:type="dxa"/>
            <w:tcBorders>
              <w:top w:val="single" w:color="auto" w:sz="8" w:space="0"/>
              <w:left w:val="single" w:color="auto" w:sz="8" w:space="0"/>
              <w:bottom w:val="nil"/>
              <w:right w:val="single" w:color="auto" w:sz="8" w:space="0"/>
            </w:tcBorders>
            <w:vAlign w:val="center"/>
          </w:tcPr>
          <w:p w14:paraId="50311B28">
            <w:pPr>
              <w:tabs>
                <w:tab w:val="left" w:pos="420"/>
                <w:tab w:val="left" w:pos="630"/>
              </w:tabs>
              <w:spacing w:after="120" w:afterLines="50" w:line="4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报价（含税）</w:t>
            </w:r>
          </w:p>
        </w:tc>
        <w:tc>
          <w:tcPr>
            <w:tcW w:w="5997" w:type="dxa"/>
            <w:tcBorders>
              <w:top w:val="single" w:color="auto" w:sz="8" w:space="0"/>
              <w:left w:val="single" w:color="auto" w:sz="8" w:space="0"/>
              <w:bottom w:val="nil"/>
              <w:right w:val="single" w:color="auto" w:sz="8" w:space="0"/>
            </w:tcBorders>
            <w:vAlign w:val="center"/>
          </w:tcPr>
          <w:p w14:paraId="1BEE0316">
            <w:pPr>
              <w:tabs>
                <w:tab w:val="left" w:pos="420"/>
                <w:tab w:val="left" w:pos="630"/>
              </w:tabs>
              <w:spacing w:after="120" w:afterLines="50" w:line="480" w:lineRule="exact"/>
              <w:jc w:val="center"/>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u w:val="none"/>
                <w:lang w:val="en-US" w:eastAsia="zh-CN" w:bidi="ar-SA"/>
              </w:rPr>
              <w:t>单价：</w:t>
            </w:r>
            <w:r>
              <w:rPr>
                <w:rFonts w:hint="eastAsia" w:ascii="宋体" w:hAnsi="宋体" w:eastAsia="宋体" w:cs="宋体"/>
                <w:color w:val="auto"/>
                <w:kern w:val="0"/>
                <w:sz w:val="24"/>
                <w:szCs w:val="24"/>
                <w:highlight w:val="none"/>
                <w:u w:val="single"/>
                <w:lang w:val="en-US" w:eastAsia="zh-CN" w:bidi="ar-SA"/>
              </w:rPr>
              <w:t xml:space="preserve">       元/个/年</w:t>
            </w:r>
            <w:r>
              <w:rPr>
                <w:rFonts w:hint="eastAsia" w:ascii="宋体" w:hAnsi="宋体" w:eastAsia="宋体" w:cs="宋体"/>
                <w:color w:val="auto"/>
                <w:kern w:val="0"/>
                <w:sz w:val="24"/>
                <w:szCs w:val="24"/>
                <w:highlight w:val="none"/>
                <w:u w:val="none"/>
                <w:lang w:val="en-US" w:eastAsia="zh-CN" w:bidi="ar-SA"/>
              </w:rPr>
              <w:t>；  合计：</w:t>
            </w:r>
            <w:r>
              <w:rPr>
                <w:rFonts w:hint="eastAsia" w:ascii="宋体" w:hAnsi="宋体" w:eastAsia="宋体" w:cs="宋体"/>
                <w:color w:val="auto"/>
                <w:kern w:val="0"/>
                <w:sz w:val="24"/>
                <w:szCs w:val="24"/>
                <w:highlight w:val="none"/>
                <w:u w:val="single"/>
                <w:lang w:val="en-US" w:eastAsia="zh-CN" w:bidi="ar-SA"/>
              </w:rPr>
              <w:t xml:space="preserve">        元/年</w:t>
            </w:r>
          </w:p>
        </w:tc>
      </w:tr>
      <w:tr w14:paraId="711D4ABA">
        <w:tblPrEx>
          <w:tblCellMar>
            <w:top w:w="0" w:type="dxa"/>
            <w:left w:w="0" w:type="dxa"/>
            <w:bottom w:w="0" w:type="dxa"/>
            <w:right w:w="0" w:type="dxa"/>
          </w:tblCellMar>
        </w:tblPrEx>
        <w:trPr>
          <w:trHeight w:val="826" w:hRule="atLeast"/>
          <w:jc w:val="center"/>
        </w:trPr>
        <w:tc>
          <w:tcPr>
            <w:tcW w:w="2329" w:type="dxa"/>
            <w:tcBorders>
              <w:top w:val="single" w:color="auto" w:sz="8" w:space="0"/>
              <w:left w:val="single" w:color="auto" w:sz="8" w:space="0"/>
              <w:bottom w:val="nil"/>
              <w:right w:val="single" w:color="auto" w:sz="8" w:space="0"/>
            </w:tcBorders>
            <w:vAlign w:val="center"/>
          </w:tcPr>
          <w:p w14:paraId="6079F3FE">
            <w:pPr>
              <w:tabs>
                <w:tab w:val="left" w:pos="420"/>
                <w:tab w:val="left" w:pos="630"/>
              </w:tabs>
              <w:spacing w:after="120" w:afterLines="50" w:line="480" w:lineRule="exact"/>
              <w:jc w:val="center"/>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合同期限</w:t>
            </w:r>
          </w:p>
        </w:tc>
        <w:tc>
          <w:tcPr>
            <w:tcW w:w="5997" w:type="dxa"/>
            <w:tcBorders>
              <w:top w:val="single" w:color="auto" w:sz="8" w:space="0"/>
              <w:left w:val="single" w:color="auto" w:sz="8" w:space="0"/>
              <w:bottom w:val="nil"/>
              <w:right w:val="single" w:color="auto" w:sz="8" w:space="0"/>
            </w:tcBorders>
            <w:vAlign w:val="center"/>
          </w:tcPr>
          <w:p w14:paraId="7F40D499">
            <w:pPr>
              <w:tabs>
                <w:tab w:val="left" w:pos="420"/>
                <w:tab w:val="left" w:pos="630"/>
              </w:tabs>
              <w:spacing w:after="120" w:afterLines="50" w:line="480" w:lineRule="exact"/>
              <w:jc w:val="center"/>
              <w:rPr>
                <w:rFonts w:hint="eastAsia" w:ascii="宋体" w:hAnsi="宋体" w:eastAsia="宋体" w:cs="宋体"/>
                <w:kern w:val="0"/>
                <w:sz w:val="24"/>
                <w:szCs w:val="24"/>
                <w:highlight w:val="none"/>
                <w:lang w:val="en-US" w:eastAsia="zh-CN" w:bidi="ar-SA"/>
              </w:rPr>
            </w:pPr>
            <w:r>
              <w:rPr>
                <w:rFonts w:hint="eastAsia" w:ascii="宋体" w:hAnsi="宋体"/>
                <w:color w:val="auto"/>
                <w:sz w:val="24"/>
                <w:highlight w:val="none"/>
                <w:lang w:val="en-US" w:eastAsia="zh-CN"/>
              </w:rPr>
              <w:t>自合同签订之日起1年</w:t>
            </w:r>
          </w:p>
        </w:tc>
      </w:tr>
      <w:tr w14:paraId="3B53DE27">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06FDF3E4">
            <w:pPr>
              <w:jc w:val="center"/>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备注</w:t>
            </w:r>
          </w:p>
        </w:tc>
        <w:tc>
          <w:tcPr>
            <w:tcW w:w="5997" w:type="dxa"/>
            <w:tcBorders>
              <w:top w:val="single" w:color="auto" w:sz="8" w:space="0"/>
              <w:left w:val="single" w:color="auto" w:sz="8" w:space="0"/>
              <w:bottom w:val="single" w:color="auto" w:sz="8" w:space="0"/>
              <w:right w:val="single" w:color="auto" w:sz="8" w:space="0"/>
            </w:tcBorders>
            <w:vAlign w:val="center"/>
          </w:tcPr>
          <w:p w14:paraId="275BF4CF">
            <w:pPr>
              <w:jc w:val="center"/>
              <w:rPr>
                <w:rFonts w:hint="default"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最终按实结算</w:t>
            </w:r>
          </w:p>
        </w:tc>
      </w:tr>
    </w:tbl>
    <w:p w14:paraId="6704C206">
      <w:pPr>
        <w:pStyle w:val="4"/>
        <w:spacing w:before="0" w:beforeAutospacing="0" w:after="0" w:afterAutospacing="0" w:line="480" w:lineRule="auto"/>
        <w:jc w:val="both"/>
        <w:rPr>
          <w:color w:val="auto"/>
          <w:highlight w:val="none"/>
        </w:rPr>
      </w:pPr>
    </w:p>
    <w:p w14:paraId="3544DC08">
      <w:pPr>
        <w:pStyle w:val="4"/>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2901A40E">
      <w:pPr>
        <w:pStyle w:val="4"/>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F914775">
      <w:pPr>
        <w:pStyle w:val="4"/>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p>
    <w:p w14:paraId="3EB5345F">
      <w:pPr>
        <w:pStyle w:val="3"/>
        <w:keepNext w:val="0"/>
        <w:keepLines w:val="0"/>
        <w:pageBreakBefore w:val="0"/>
        <w:widowControl w:val="0"/>
        <w:kinsoku/>
        <w:wordWrap/>
        <w:overflowPunct/>
        <w:topLinePunct w:val="0"/>
        <w:autoSpaceDE/>
        <w:autoSpaceDN/>
        <w:bidi w:val="0"/>
        <w:adjustRightInd w:val="0"/>
        <w:snapToGrid/>
        <w:spacing w:after="0" w:line="400" w:lineRule="exact"/>
        <w:ind w:left="42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注：</w:t>
      </w:r>
    </w:p>
    <w:p w14:paraId="113827CE">
      <w:pPr>
        <w:pStyle w:val="3"/>
        <w:keepNext w:val="0"/>
        <w:keepLines w:val="0"/>
        <w:pageBreakBefore w:val="0"/>
        <w:widowControl w:val="0"/>
        <w:numPr>
          <w:ilvl w:val="0"/>
          <w:numId w:val="2"/>
        </w:numPr>
        <w:kinsoku/>
        <w:wordWrap/>
        <w:overflowPunct/>
        <w:topLinePunct w:val="0"/>
        <w:autoSpaceDE/>
        <w:autoSpaceDN/>
        <w:bidi w:val="0"/>
        <w:adjustRightInd w:val="0"/>
        <w:snapToGrid/>
        <w:spacing w:after="0" w:line="400" w:lineRule="exact"/>
        <w:ind w:left="42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报价函应独立密封。</w:t>
      </w:r>
    </w:p>
    <w:p w14:paraId="1A93256E">
      <w:pPr>
        <w:pStyle w:val="3"/>
        <w:keepNext w:val="0"/>
        <w:keepLines w:val="0"/>
        <w:pageBreakBefore w:val="0"/>
        <w:widowControl w:val="0"/>
        <w:numPr>
          <w:ilvl w:val="0"/>
          <w:numId w:val="2"/>
        </w:numPr>
        <w:kinsoku/>
        <w:wordWrap/>
        <w:overflowPunct/>
        <w:topLinePunct w:val="0"/>
        <w:autoSpaceDE/>
        <w:autoSpaceDN/>
        <w:bidi w:val="0"/>
        <w:adjustRightInd w:val="0"/>
        <w:snapToGrid/>
        <w:spacing w:after="0" w:line="400" w:lineRule="exact"/>
        <w:ind w:left="42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val="en-US" w:eastAsia="zh-CN"/>
        </w:rPr>
        <w:t>年</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val="en-US" w:eastAsia="zh-CN"/>
        </w:rPr>
        <w:t>月</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val="en-US" w:eastAsia="zh-CN"/>
        </w:rPr>
        <w:t>日</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val="en-US" w:eastAsia="zh-CN"/>
        </w:rPr>
        <w:t>时</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val="en-US" w:eastAsia="zh-CN"/>
        </w:rPr>
        <w:t>分（比选公告规定的比选时间）前不准启封”字样。</w:t>
      </w:r>
    </w:p>
    <w:p w14:paraId="69A2BED7">
      <w:pPr>
        <w:pStyle w:val="3"/>
        <w:keepNext w:val="0"/>
        <w:keepLines w:val="0"/>
        <w:pageBreakBefore w:val="0"/>
        <w:widowControl w:val="0"/>
        <w:numPr>
          <w:ilvl w:val="0"/>
          <w:numId w:val="0"/>
        </w:numPr>
        <w:kinsoku/>
        <w:wordWrap/>
        <w:overflowPunct/>
        <w:topLinePunct w:val="0"/>
        <w:autoSpaceDE/>
        <w:autoSpaceDN/>
        <w:bidi w:val="0"/>
        <w:adjustRightInd w:val="0"/>
        <w:snapToGrid/>
        <w:spacing w:after="0" w:line="400" w:lineRule="exact"/>
        <w:textAlignment w:val="baseline"/>
        <w:rPr>
          <w:rFonts w:hint="eastAsia" w:ascii="宋体" w:hAnsi="宋体" w:eastAsia="宋体" w:cs="宋体"/>
          <w:b/>
          <w:bCs/>
          <w:color w:val="auto"/>
          <w:sz w:val="24"/>
          <w:szCs w:val="24"/>
          <w:highlight w:val="none"/>
          <w:lang w:val="en-US" w:eastAsia="zh-CN"/>
        </w:rPr>
      </w:pPr>
    </w:p>
    <w:p w14:paraId="139F8CFC">
      <w:pPr>
        <w:pStyle w:val="3"/>
        <w:keepNext w:val="0"/>
        <w:keepLines w:val="0"/>
        <w:pageBreakBefore w:val="0"/>
        <w:widowControl w:val="0"/>
        <w:numPr>
          <w:ilvl w:val="0"/>
          <w:numId w:val="0"/>
        </w:numPr>
        <w:kinsoku/>
        <w:wordWrap/>
        <w:overflowPunct/>
        <w:topLinePunct w:val="0"/>
        <w:autoSpaceDE/>
        <w:autoSpaceDN/>
        <w:bidi w:val="0"/>
        <w:adjustRightInd w:val="0"/>
        <w:snapToGrid/>
        <w:spacing w:after="0" w:line="400" w:lineRule="exact"/>
        <w:jc w:val="center"/>
        <w:textAlignment w:val="baseline"/>
        <w:rPr>
          <w:rFonts w:hint="eastAsia" w:ascii="宋体" w:hAnsi="宋体" w:eastAsia="宋体" w:cs="宋体"/>
          <w:b/>
          <w:bCs/>
          <w:color w:val="auto"/>
          <w:sz w:val="24"/>
          <w:szCs w:val="24"/>
          <w:highlight w:val="none"/>
          <w:lang w:val="en-US" w:eastAsia="zh-CN"/>
        </w:rPr>
      </w:pPr>
    </w:p>
    <w:p w14:paraId="6CBDBD96">
      <w:pPr>
        <w:pStyle w:val="3"/>
        <w:keepNext w:val="0"/>
        <w:keepLines w:val="0"/>
        <w:pageBreakBefore w:val="0"/>
        <w:widowControl w:val="0"/>
        <w:numPr>
          <w:ilvl w:val="0"/>
          <w:numId w:val="0"/>
        </w:numPr>
        <w:kinsoku/>
        <w:wordWrap/>
        <w:overflowPunct/>
        <w:topLinePunct w:val="0"/>
        <w:autoSpaceDE/>
        <w:autoSpaceDN/>
        <w:bidi w:val="0"/>
        <w:adjustRightInd w:val="0"/>
        <w:snapToGrid/>
        <w:spacing w:after="0" w:line="400" w:lineRule="exact"/>
        <w:jc w:val="center"/>
        <w:textAlignment w:val="baseline"/>
        <w:rPr>
          <w:rFonts w:hint="default" w:ascii="宋体" w:hAnsi="宋体" w:eastAsia="宋体" w:cs="宋体"/>
          <w:b/>
          <w:bCs/>
          <w:color w:val="auto"/>
          <w:sz w:val="30"/>
          <w:szCs w:val="30"/>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7890FB22"/>
    <w:multiLevelType w:val="singleLevel"/>
    <w:tmpl w:val="7890FB22"/>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DC0086"/>
    <w:rsid w:val="07DFB790"/>
    <w:rsid w:val="08542EAD"/>
    <w:rsid w:val="0E5203DC"/>
    <w:rsid w:val="1294368F"/>
    <w:rsid w:val="13F164E6"/>
    <w:rsid w:val="17FC2567"/>
    <w:rsid w:val="317216D8"/>
    <w:rsid w:val="3FDB1558"/>
    <w:rsid w:val="53770F62"/>
    <w:rsid w:val="5BA31A66"/>
    <w:rsid w:val="5E3F8850"/>
    <w:rsid w:val="67BF0B71"/>
    <w:rsid w:val="67DC0086"/>
    <w:rsid w:val="73E73B13"/>
    <w:rsid w:val="7CD67C72"/>
    <w:rsid w:val="7F7DD95B"/>
    <w:rsid w:val="7FB6E943"/>
    <w:rsid w:val="93BB2490"/>
    <w:rsid w:val="DEE9E0EC"/>
    <w:rsid w:val="F3EFDD49"/>
    <w:rsid w:val="FC9402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7">
    <w:name w:val="正文_2_0"/>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3260</Words>
  <Characters>3386</Characters>
  <Lines>0</Lines>
  <Paragraphs>0</Paragraphs>
  <TotalTime>11</TotalTime>
  <ScaleCrop>false</ScaleCrop>
  <LinksUpToDate>false</LinksUpToDate>
  <CharactersWithSpaces>3732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2026-02-03T18:22:00Z</dcterms:created>
  <dc:creator>大橙</dc:creator>
  <cp:lastModifiedBy>大橙</cp:lastModifiedBy>
  <cp:lastPrinted>2026-03-05T17:02:00Z</cp:lastPrinted>
  <dcterms:modified xsi:type="dcterms:W3CDTF">2026-03-23T06:33:07Z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06EB26A927794B26A2512B7DE1420B47_13</vt:lpwstr>
  </property>
  <property fmtid="{D5CDD505-2E9C-101B-9397-08002B2CF9AE}" pid="4" name="KSOTemplateDocerSaveRecord">
    <vt:lpwstr>eyJoZGlkIjoiZTg5MjMzYzFkZDk5ZDdlYmJhNDU3MmE3NTkxNGFjZWEiLCJ1c2VySWQiOiIxMjAxNTIzMjM4In0=</vt:lpwstr>
  </property>
</Properties>
</file>