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A4646">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：比选内容及要求</w:t>
      </w:r>
    </w:p>
    <w:p w14:paraId="117FBE42">
      <w:pPr>
        <w:keepNext w:val="0"/>
        <w:keepLines w:val="0"/>
        <w:pageBreakBefore w:val="0"/>
        <w:kinsoku/>
        <w:wordWrap/>
        <w:overflowPunct/>
        <w:topLinePunct w:val="0"/>
        <w:autoSpaceDE/>
        <w:autoSpaceDN/>
        <w:bidi w:val="0"/>
        <w:spacing w:before="0" w:after="0" w:line="360" w:lineRule="auto"/>
        <w:jc w:val="center"/>
        <w:outlineLvl w:val="9"/>
        <w:rPr>
          <w:rFonts w:hint="eastAsia" w:ascii="宋体" w:hAnsi="宋体" w:eastAsia="宋体" w:cs="宋体"/>
          <w:b/>
          <w:bCs/>
          <w:sz w:val="36"/>
          <w:szCs w:val="30"/>
          <w:highlight w:val="none"/>
        </w:rPr>
      </w:pPr>
      <w:r>
        <w:rPr>
          <w:rFonts w:hint="eastAsia" w:ascii="黑体" w:hAnsi="黑体" w:eastAsia="黑体" w:cs="黑体"/>
          <w:color w:val="auto"/>
          <w:kern w:val="0"/>
          <w:sz w:val="32"/>
          <w:szCs w:val="32"/>
          <w:highlight w:val="none"/>
          <w:shd w:val="clear" w:color="auto" w:fill="FFFFFF"/>
          <w:lang w:val="en-US" w:eastAsia="zh-CN" w:bidi="ar-SA"/>
        </w:rPr>
        <w:t>城发大厦智能化运维服务项目技术比选内容及要求</w:t>
      </w:r>
    </w:p>
    <w:p w14:paraId="6A8687F6">
      <w:pPr>
        <w:keepNext w:val="0"/>
        <w:keepLines w:val="0"/>
        <w:pageBreakBefore w:val="0"/>
        <w:kinsoku/>
        <w:wordWrap/>
        <w:overflowPunct/>
        <w:topLinePunct w:val="0"/>
        <w:autoSpaceDE/>
        <w:autoSpaceDN/>
        <w:bidi w:val="0"/>
        <w:adjustRightInd w:val="0"/>
        <w:snapToGrid w:val="0"/>
        <w:spacing w:before="0" w:after="0" w:line="360" w:lineRule="auto"/>
        <w:ind w:firstLine="480" w:firstLineChars="200"/>
        <w:outlineLvl w:val="9"/>
        <w:rPr>
          <w:rFonts w:hint="eastAsia" w:ascii="宋体" w:hAnsi="宋体" w:eastAsia="宋体" w:cs="宋体"/>
          <w:sz w:val="24"/>
          <w:szCs w:val="24"/>
          <w:highlight w:val="none"/>
        </w:rPr>
      </w:pPr>
      <w:bookmarkStart w:id="0" w:name="_Toc10634"/>
      <w:bookmarkStart w:id="1" w:name="_Toc765"/>
      <w:r>
        <w:rPr>
          <w:rFonts w:hint="eastAsia" w:ascii="宋体" w:hAnsi="宋体" w:eastAsia="宋体" w:cs="宋体"/>
          <w:sz w:val="24"/>
          <w:szCs w:val="24"/>
          <w:highlight w:val="none"/>
        </w:rPr>
        <w:t>一、</w:t>
      </w:r>
      <w:bookmarkEnd w:id="0"/>
      <w:r>
        <w:rPr>
          <w:rFonts w:hint="eastAsia" w:ascii="宋体" w:hAnsi="宋体" w:eastAsia="宋体" w:cs="宋体"/>
          <w:sz w:val="24"/>
          <w:szCs w:val="24"/>
          <w:highlight w:val="none"/>
        </w:rPr>
        <w:t>项目概述</w:t>
      </w:r>
      <w:bookmarkEnd w:id="1"/>
    </w:p>
    <w:p w14:paraId="2DCE2A06">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bookmarkStart w:id="2" w:name="_Toc496622169"/>
      <w:bookmarkStart w:id="3" w:name="_Toc499211995"/>
      <w:bookmarkStart w:id="4" w:name="_Toc525775658"/>
      <w:bookmarkStart w:id="5" w:name="_Toc490764572"/>
      <w:r>
        <w:rPr>
          <w:rFonts w:hint="eastAsia" w:ascii="宋体" w:hAnsi="宋体" w:eastAsia="宋体" w:cs="宋体"/>
          <w:sz w:val="24"/>
          <w:szCs w:val="24"/>
          <w:highlight w:val="none"/>
        </w:rPr>
        <w:t>三明城发集团办公大楼位于东乾二路与江滨路交叉口，共计26层，是城发集团的总部大楼，</w:t>
      </w:r>
      <w:r>
        <w:rPr>
          <w:rFonts w:hint="eastAsia" w:ascii="宋体" w:hAnsi="宋体" w:eastAsia="宋体" w:cs="宋体"/>
          <w:sz w:val="24"/>
          <w:szCs w:val="24"/>
          <w:highlight w:val="none"/>
          <w:lang w:val="en-US" w:eastAsia="zh-CN"/>
        </w:rPr>
        <w:t>同时还是</w:t>
      </w:r>
      <w:r>
        <w:rPr>
          <w:rFonts w:hint="eastAsia" w:ascii="宋体" w:hAnsi="宋体" w:eastAsia="宋体" w:cs="宋体"/>
          <w:sz w:val="24"/>
          <w:szCs w:val="24"/>
          <w:highlight w:val="none"/>
        </w:rPr>
        <w:t>城发集团各子公司办公</w:t>
      </w:r>
      <w:r>
        <w:rPr>
          <w:rFonts w:hint="eastAsia" w:ascii="宋体" w:hAnsi="宋体" w:eastAsia="宋体" w:cs="宋体"/>
          <w:sz w:val="24"/>
          <w:szCs w:val="24"/>
          <w:highlight w:val="none"/>
          <w:lang w:val="en-US" w:eastAsia="zh-CN"/>
        </w:rPr>
        <w:t>场所</w:t>
      </w:r>
      <w:r>
        <w:rPr>
          <w:rFonts w:hint="eastAsia" w:ascii="宋体" w:hAnsi="宋体" w:eastAsia="宋体" w:cs="宋体"/>
          <w:sz w:val="24"/>
          <w:szCs w:val="24"/>
          <w:highlight w:val="none"/>
        </w:rPr>
        <w:t>。本办公楼</w:t>
      </w:r>
      <w:r>
        <w:rPr>
          <w:rFonts w:hint="eastAsia" w:ascii="宋体" w:hAnsi="宋体" w:eastAsia="宋体" w:cs="宋体"/>
          <w:sz w:val="24"/>
          <w:szCs w:val="24"/>
          <w:highlight w:val="none"/>
          <w:lang w:val="en-US" w:eastAsia="zh-CN"/>
        </w:rPr>
        <w:t>信息</w:t>
      </w:r>
      <w:r>
        <w:rPr>
          <w:rFonts w:hint="eastAsia" w:ascii="宋体" w:hAnsi="宋体" w:eastAsia="宋体" w:cs="宋体"/>
          <w:sz w:val="24"/>
          <w:szCs w:val="24"/>
          <w:highlight w:val="none"/>
        </w:rPr>
        <w:t>智能</w:t>
      </w:r>
      <w:r>
        <w:rPr>
          <w:rFonts w:hint="eastAsia" w:ascii="宋体" w:hAnsi="宋体" w:eastAsia="宋体" w:cs="宋体"/>
          <w:sz w:val="24"/>
          <w:szCs w:val="24"/>
          <w:highlight w:val="none"/>
          <w:lang w:val="en-US" w:eastAsia="zh-CN"/>
        </w:rPr>
        <w:t>化系统建设具有较高水平。由于系统建设完成已有五年之久，系统长时间运行，</w:t>
      </w:r>
      <w:bookmarkEnd w:id="2"/>
      <w:bookmarkEnd w:id="3"/>
      <w:bookmarkEnd w:id="4"/>
      <w:bookmarkEnd w:id="5"/>
      <w:r>
        <w:rPr>
          <w:rFonts w:hint="eastAsia" w:ascii="宋体" w:hAnsi="宋体" w:eastAsia="宋体" w:cs="宋体"/>
          <w:color w:val="auto"/>
          <w:sz w:val="24"/>
          <w:szCs w:val="24"/>
          <w:highlight w:val="none"/>
        </w:rPr>
        <w:t>建议对</w:t>
      </w:r>
      <w:r>
        <w:rPr>
          <w:rFonts w:hint="eastAsia" w:ascii="宋体" w:hAnsi="宋体" w:eastAsia="宋体" w:cs="宋体"/>
          <w:color w:val="auto"/>
          <w:sz w:val="24"/>
          <w:szCs w:val="24"/>
          <w:highlight w:val="none"/>
          <w:lang w:val="en-US" w:eastAsia="zh-CN"/>
        </w:rPr>
        <w:t>大楼</w:t>
      </w:r>
      <w:r>
        <w:rPr>
          <w:rFonts w:hint="eastAsia" w:ascii="宋体" w:hAnsi="宋体" w:eastAsia="宋体" w:cs="宋体"/>
          <w:color w:val="auto"/>
          <w:sz w:val="24"/>
          <w:szCs w:val="24"/>
          <w:highlight w:val="none"/>
        </w:rPr>
        <w:t>已建设的内网核心交换机、服务器、存储、交换机、无线控制器、外网出口安全设备、应用服务器等核心设备进行一次全方位检修，软件升级。内外网设备与设备之间的综合布线系统及其他弱电智能化系统前后端软硬件设备维护均需提供具备专业资质与技能的工程师在用户所在地按照用户使用需求对网络进行日常值守、维护与更新服务，主要包含对设备及系统运行情况的日常检测、定期巡测、按需更新通信网络配置等工作。同时在发现网络及系统故障时须及时介入处理并开展维护，统一协调排除故障。保证系统的正常运行，并作好相关记录存档。</w:t>
      </w:r>
    </w:p>
    <w:p w14:paraId="065E9405">
      <w:pPr>
        <w:keepNext w:val="0"/>
        <w:keepLines w:val="0"/>
        <w:pageBreakBefore w:val="0"/>
        <w:kinsoku/>
        <w:wordWrap/>
        <w:overflowPunct/>
        <w:topLinePunct w:val="0"/>
        <w:autoSpaceDE/>
        <w:autoSpaceDN/>
        <w:bidi w:val="0"/>
        <w:adjustRightInd w:val="0"/>
        <w:snapToGrid w:val="0"/>
        <w:spacing w:before="0" w:after="0" w:line="360" w:lineRule="auto"/>
        <w:ind w:firstLine="480" w:firstLineChars="200"/>
        <w:outlineLvl w:val="9"/>
        <w:rPr>
          <w:rFonts w:hint="eastAsia" w:ascii="宋体" w:hAnsi="宋体" w:eastAsia="宋体" w:cs="宋体"/>
          <w:color w:val="auto"/>
          <w:sz w:val="24"/>
          <w:szCs w:val="24"/>
          <w:highlight w:val="none"/>
        </w:rPr>
      </w:pPr>
      <w:bookmarkStart w:id="6" w:name="_Toc490764580"/>
      <w:bookmarkStart w:id="7" w:name="_Toc496622170"/>
      <w:bookmarkStart w:id="8" w:name="_Toc499211996"/>
      <w:bookmarkStart w:id="9" w:name="_Toc525775659"/>
      <w:bookmarkStart w:id="10" w:name="_Toc17809"/>
      <w:bookmarkStart w:id="11" w:name="_Toc11734"/>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运维服务</w:t>
      </w:r>
      <w:bookmarkEnd w:id="6"/>
      <w:bookmarkEnd w:id="7"/>
      <w:r>
        <w:rPr>
          <w:rFonts w:hint="eastAsia" w:ascii="宋体" w:hAnsi="宋体" w:eastAsia="宋体" w:cs="宋体"/>
          <w:color w:val="auto"/>
          <w:sz w:val="24"/>
          <w:szCs w:val="24"/>
          <w:highlight w:val="none"/>
        </w:rPr>
        <w:t>具体要求</w:t>
      </w:r>
      <w:bookmarkEnd w:id="8"/>
      <w:bookmarkEnd w:id="9"/>
      <w:bookmarkEnd w:id="10"/>
      <w:bookmarkEnd w:id="11"/>
    </w:p>
    <w:p w14:paraId="331E4F83">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严格按照运维相关条例进行要求组织运行维护。</w:t>
      </w:r>
    </w:p>
    <w:p w14:paraId="1DD637A0">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bookmarkStart w:id="12" w:name="_Toc499211997"/>
      <w:bookmarkStart w:id="13" w:name="_Toc496622171"/>
      <w:bookmarkStart w:id="14" w:name="_Toc490764581"/>
      <w:bookmarkStart w:id="15" w:name="_Toc1755"/>
      <w:r>
        <w:rPr>
          <w:rFonts w:hint="eastAsia" w:ascii="宋体" w:hAnsi="宋体" w:eastAsia="宋体" w:cs="宋体"/>
          <w:color w:val="auto"/>
          <w:sz w:val="24"/>
          <w:szCs w:val="24"/>
          <w:highlight w:val="none"/>
        </w:rPr>
        <w:t>（一）</w:t>
      </w:r>
      <w:bookmarkEnd w:id="12"/>
      <w:bookmarkEnd w:id="13"/>
      <w:bookmarkEnd w:id="14"/>
      <w:r>
        <w:rPr>
          <w:rFonts w:hint="eastAsia" w:ascii="宋体" w:hAnsi="宋体" w:eastAsia="宋体" w:cs="宋体"/>
          <w:color w:val="auto"/>
          <w:sz w:val="24"/>
          <w:szCs w:val="24"/>
          <w:highlight w:val="none"/>
        </w:rPr>
        <w:t>运维服务团队要求</w:t>
      </w:r>
      <w:bookmarkEnd w:id="15"/>
    </w:p>
    <w:p w14:paraId="5CCF58EB">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运维服务单位须具有良好的本地化系统维保能力，有从事弱电智能化协调维护的经历，派遣工程师现场服务，并根据用户需要合理调配各岗位人员，保障维保工作需要，建立并执行维保质量及工作绩效评估体系。</w:t>
      </w:r>
    </w:p>
    <w:p w14:paraId="4E24ACED">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服务范围内所有设备的维护维修服务，包括日常监控及巡检、故障诊断处理及维修、重大活动保障、系统升级及性能优化、定期清洁保养等，确保系统设备正常运行。对于目前仍处于免费质保期内的系统设备，配合制造商或集成商全面做好系统设备的售后服务，协助原厂工程师快速诊断、排除故障并恢复系统运行。</w:t>
      </w:r>
    </w:p>
    <w:p w14:paraId="128E75B8">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制定实施各分项系统维护计划，负责各类系统的日常运行监测、维护、保养，完成系统配置、调优。监视各类系统/设备的运行情况，收集信息，及时发现、反馈并处理。</w:t>
      </w:r>
    </w:p>
    <w:p w14:paraId="36FC2965">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严守工作秘密，</w:t>
      </w:r>
      <w:r>
        <w:rPr>
          <w:rFonts w:hint="eastAsia" w:ascii="宋体" w:hAnsi="宋体" w:eastAsia="宋体" w:cs="宋体"/>
          <w:color w:val="auto"/>
          <w:sz w:val="24"/>
          <w:szCs w:val="24"/>
          <w:highlight w:val="none"/>
          <w:lang w:val="en-US" w:eastAsia="zh-CN"/>
        </w:rPr>
        <w:t>运维</w:t>
      </w:r>
      <w:r>
        <w:rPr>
          <w:rFonts w:hint="eastAsia" w:ascii="宋体" w:hAnsi="宋体" w:eastAsia="宋体" w:cs="宋体"/>
          <w:color w:val="auto"/>
          <w:sz w:val="24"/>
          <w:szCs w:val="24"/>
          <w:highlight w:val="none"/>
        </w:rPr>
        <w:t>工程师须先与运维单位签署保密责任书，运维单位须与用户签署保密协议，对所知悉的事项及信息须严格保密，所有资料、技术文档妥善保管，不得遗失、转借、复印，不得以任何形式向第三方透露。</w:t>
      </w:r>
    </w:p>
    <w:p w14:paraId="04D82745">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承担维保工作质量责任，严格遵循操作规程（范）。若因违反操作规程、调试检测或操作维护使用不当，造成系统设备损坏的，按照用户要求限期无条件恢复，并承担由此而带来的全部责任和损失。</w:t>
      </w:r>
    </w:p>
    <w:p w14:paraId="1EAF1F06">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单位应加强对巡检数据、问题的分析和预警，对故障与灾害事件进行分级评估，规定报告流程及要求，制定故障处置预案，制定备份、恢复策略，对数据损坏、崩溃等各种异常情况做出快速响应、恢复，事后应进行总结和评价。</w:t>
      </w:r>
    </w:p>
    <w:p w14:paraId="6151A524">
      <w:pPr>
        <w:keepNext w:val="0"/>
        <w:keepLines w:val="0"/>
        <w:pageBreakBefore w:val="0"/>
        <w:kinsoku/>
        <w:wordWrap/>
        <w:overflowPunct/>
        <w:topLinePunct w:val="0"/>
        <w:autoSpaceDE/>
        <w:autoSpaceDN/>
        <w:bidi w:val="0"/>
        <w:spacing w:line="360" w:lineRule="auto"/>
        <w:ind w:firstLine="480" w:firstLineChars="200"/>
        <w:rPr>
          <w:rFonts w:hint="default" w:ascii="宋体" w:hAnsi="宋体" w:eastAsia="宋体" w:cs="宋体"/>
          <w:color w:val="FF0000"/>
          <w:kern w:val="0"/>
          <w:sz w:val="24"/>
          <w:szCs w:val="24"/>
          <w:lang w:val="en-US" w:eastAsia="zh-CN" w:bidi="ar-SA"/>
        </w:rPr>
      </w:pPr>
      <w:r>
        <w:rPr>
          <w:rFonts w:hint="eastAsia" w:ascii="宋体" w:hAnsi="宋体" w:eastAsia="宋体" w:cs="宋体"/>
          <w:color w:val="auto"/>
          <w:sz w:val="24"/>
          <w:szCs w:val="24"/>
          <w:highlight w:val="none"/>
        </w:rPr>
        <w:t>统一监测、统一运维：对现有的内场工程、系统工程设备进行统一监测、统一运维，要求运维服务单位能够提供视频监控设备的维修服务，实现运维+维修一体化服务，保障</w:t>
      </w:r>
      <w:r>
        <w:rPr>
          <w:rFonts w:hint="eastAsia" w:ascii="宋体" w:hAnsi="宋体" w:eastAsia="宋体" w:cs="宋体"/>
          <w:color w:val="auto"/>
          <w:sz w:val="24"/>
          <w:szCs w:val="24"/>
          <w:highlight w:val="none"/>
          <w:lang w:val="en-US" w:eastAsia="zh-CN"/>
        </w:rPr>
        <w:t>城发大厦</w:t>
      </w:r>
      <w:r>
        <w:rPr>
          <w:rFonts w:hint="eastAsia" w:ascii="宋体" w:hAnsi="宋体" w:eastAsia="宋体" w:cs="宋体"/>
          <w:color w:val="auto"/>
          <w:sz w:val="24"/>
          <w:szCs w:val="24"/>
          <w:highlight w:val="none"/>
        </w:rPr>
        <w:t>智能化设备的全范围、全设备的统一运维。</w:t>
      </w:r>
    </w:p>
    <w:p w14:paraId="6C5B084F">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bookmarkStart w:id="16" w:name="_Toc12715"/>
      <w:bookmarkStart w:id="17" w:name="_Toc499211998"/>
      <w:bookmarkStart w:id="18" w:name="_Toc496622172"/>
      <w:bookmarkStart w:id="19" w:name="_Toc490764582"/>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运维</w:t>
      </w:r>
      <w:r>
        <w:rPr>
          <w:rFonts w:hint="eastAsia" w:ascii="宋体" w:hAnsi="宋体" w:eastAsia="宋体" w:cs="宋体"/>
          <w:color w:val="auto"/>
          <w:sz w:val="24"/>
          <w:szCs w:val="24"/>
          <w:highlight w:val="none"/>
        </w:rPr>
        <w:t>人员基本配置要求</w:t>
      </w:r>
      <w:bookmarkEnd w:id="16"/>
      <w:bookmarkEnd w:id="17"/>
      <w:bookmarkEnd w:id="18"/>
      <w:bookmarkEnd w:id="19"/>
    </w:p>
    <w:p w14:paraId="55765966">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针对本次运维服务的要求，组建专项运维服务项目组，配置专业的服务团队，为本项目提供专业的运维服务。</w:t>
      </w:r>
    </w:p>
    <w:p w14:paraId="2DC51FF4">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bookmarkStart w:id="20" w:name="_Toc22675"/>
      <w:r>
        <w:rPr>
          <w:rFonts w:hint="eastAsia" w:ascii="宋体" w:hAnsi="宋体" w:eastAsia="宋体" w:cs="宋体"/>
          <w:color w:val="auto"/>
          <w:sz w:val="24"/>
          <w:szCs w:val="24"/>
          <w:highlight w:val="none"/>
        </w:rPr>
        <w:t>1、驻场服务组及业务能力要求</w:t>
      </w:r>
      <w:bookmarkEnd w:id="20"/>
    </w:p>
    <w:p w14:paraId="0F332427">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根据运维需求要求，本项目对运维人员的配置要求如下： </w:t>
      </w:r>
    </w:p>
    <w:p w14:paraId="40DE4B91">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（1）项目经理1人：负责整</w:t>
      </w:r>
      <w:r>
        <w:rPr>
          <w:rFonts w:hint="eastAsia" w:ascii="宋体" w:hAnsi="宋体" w:eastAsia="宋体" w:cs="宋体"/>
          <w:color w:val="auto"/>
          <w:sz w:val="24"/>
          <w:szCs w:val="24"/>
          <w:highlight w:val="none"/>
          <w:lang w:val="en-US" w:eastAsia="zh-CN"/>
        </w:rPr>
        <w:t>幢大楼</w:t>
      </w:r>
      <w:r>
        <w:rPr>
          <w:rFonts w:hint="eastAsia" w:ascii="宋体" w:hAnsi="宋体" w:eastAsia="宋体" w:cs="宋体"/>
          <w:color w:val="auto"/>
          <w:sz w:val="24"/>
          <w:szCs w:val="24"/>
          <w:highlight w:val="none"/>
        </w:rPr>
        <w:t>的系统工程运维工作，统筹、协调、管理各运维小组的人员、运维资源，跟踪指导各运维小组的日常监控、现场巡检、系统升级及优化、咨询评估、技术支持及相关的结果汇报工作。</w:t>
      </w:r>
    </w:p>
    <w:p w14:paraId="2D39BCE6">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（2）前端设备维护人员</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人：负责视频监控、机房工程、综合布线</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背景音乐，电子巡更，信息发布，门禁一卡通等前端感知工程设备及其附属设施（如：高清网络解码器拼控一体机，拼接屏，存储阵列，服务器核心交换机，楼层交换机，无线AP</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摄像机，拾音器，显示屏，吸顶扬声器，功放，巡更钮，门禁控制器，读卡器开门按钮等设备）的日常监控、巡检，设备维护及清洁，进行故障处理、解决、反馈工作，系统升级及优化、咨询评估、重大活动保障等工作。要求具备2年以上信息化、智能化和监控系统维护经验，具备相关系统、设备专业知识和较强维护操作能力。专业技术人员需具备电工职业资格证书。了解弱电智能化系统运行维护体系和管理要求，准守纪律、严谨可靠、责任心强。</w:t>
      </w:r>
    </w:p>
    <w:p w14:paraId="72AC6722">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）系统工程维护人员</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人：负责服务器、存储、网络设备、会议系统、安全设备、通信等设备和各种平台软件（如：数据库服务器，多媒体管理服务器，遥距多媒体显控系统软件，电子巡更系统软件，网络视频监控系统平台等）的日常监控、巡检，设备维护及清洁，进行故障处理、解决、反馈工作，系统升级及优化、咨询评估、重大活动保障等工作。要求具备2年以上系统工程设备维护经验，具备计算机、网络、通信等相关系统、设备专业知识和较强维护操作能力。了解弱电智能化系统运行维护体系和管理要求，准守纪律、严谨可靠、责任心强。</w:t>
      </w:r>
    </w:p>
    <w:p w14:paraId="2315B5F0">
      <w:pPr>
        <w:keepNext w:val="0"/>
        <w:keepLines w:val="0"/>
        <w:pageBreakBefore w:val="0"/>
        <w:shd w:val="clear" w:color="auto" w:fill="auto"/>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服务时间要求</w:t>
      </w:r>
    </w:p>
    <w:p w14:paraId="26598CE8">
      <w:pPr>
        <w:keepNext w:val="0"/>
        <w:keepLines w:val="0"/>
        <w:pageBreakBefore w:val="0"/>
        <w:shd w:val="clear" w:color="auto" w:fill="auto"/>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要求维护人员：</w:t>
      </w:r>
      <w:r>
        <w:rPr>
          <w:rFonts w:hint="eastAsia" w:ascii="宋体" w:hAnsi="宋体" w:eastAsia="宋体" w:cs="宋体"/>
          <w:color w:val="auto"/>
          <w:sz w:val="24"/>
          <w:szCs w:val="24"/>
          <w:highlight w:val="none"/>
        </w:rPr>
        <w:t>7*24小时服务</w:t>
      </w:r>
      <w:r>
        <w:rPr>
          <w:rFonts w:hint="eastAsia" w:ascii="宋体" w:hAnsi="宋体" w:eastAsia="宋体" w:cs="宋体"/>
          <w:color w:val="auto"/>
          <w:sz w:val="24"/>
          <w:szCs w:val="24"/>
          <w:highlight w:val="none"/>
          <w:lang w:eastAsia="zh-CN"/>
        </w:rPr>
        <w:t>。</w:t>
      </w:r>
    </w:p>
    <w:p w14:paraId="1D1775AE">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bookmarkStart w:id="21" w:name="_Toc21253"/>
      <w:r>
        <w:rPr>
          <w:rFonts w:hint="eastAsia" w:ascii="宋体" w:hAnsi="宋体" w:eastAsia="宋体" w:cs="宋体"/>
          <w:color w:val="auto"/>
          <w:sz w:val="24"/>
          <w:szCs w:val="24"/>
          <w:highlight w:val="none"/>
        </w:rPr>
        <w:t>2、驻场人员素质要求</w:t>
      </w:r>
      <w:bookmarkEnd w:id="21"/>
    </w:p>
    <w:p w14:paraId="78EB3FE9">
      <w:pPr>
        <w:keepNext w:val="0"/>
        <w:keepLines w:val="0"/>
        <w:pageBreakBefore w:val="0"/>
        <w:shd w:val="clear" w:color="auto" w:fill="auto"/>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了城发大厦智能化运维维保工作正常开展，对维保人员须严格按照用户要求标准执行。维保服务人员必须政治素质可靠、工作责任心强，无前科及违法犯罪记录，要求具有具备扎实的专业技能，能胜任现场技术服务保障。根据各岗位职责情况和系统状况合理安排</w:t>
      </w:r>
      <w:r>
        <w:rPr>
          <w:rFonts w:hint="eastAsia" w:ascii="宋体" w:hAnsi="宋体" w:eastAsia="宋体" w:cs="宋体"/>
          <w:color w:val="auto"/>
          <w:sz w:val="24"/>
          <w:szCs w:val="24"/>
          <w:highlight w:val="none"/>
          <w:lang w:val="en-US" w:eastAsia="zh-CN"/>
        </w:rPr>
        <w:t>运维</w:t>
      </w:r>
      <w:r>
        <w:rPr>
          <w:rFonts w:hint="eastAsia" w:ascii="宋体" w:hAnsi="宋体" w:eastAsia="宋体" w:cs="宋体"/>
          <w:color w:val="auto"/>
          <w:sz w:val="24"/>
          <w:szCs w:val="24"/>
          <w:highlight w:val="none"/>
        </w:rPr>
        <w:t>人员，能充分保障各类系统7*24小时绝对安全和畅通。</w:t>
      </w:r>
    </w:p>
    <w:p w14:paraId="79D68040">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bookmarkStart w:id="22" w:name="_Toc9890"/>
      <w:r>
        <w:rPr>
          <w:rFonts w:hint="eastAsia" w:ascii="宋体" w:hAnsi="宋体" w:eastAsia="宋体" w:cs="宋体"/>
          <w:color w:val="auto"/>
          <w:sz w:val="24"/>
          <w:szCs w:val="24"/>
          <w:highlight w:val="none"/>
        </w:rPr>
        <w:t>3、对</w:t>
      </w:r>
      <w:r>
        <w:rPr>
          <w:rFonts w:hint="eastAsia" w:ascii="宋体" w:hAnsi="宋体" w:eastAsia="宋体" w:cs="宋体"/>
          <w:color w:val="auto"/>
          <w:sz w:val="24"/>
          <w:szCs w:val="24"/>
          <w:highlight w:val="none"/>
          <w:lang w:val="en-US" w:eastAsia="zh-CN"/>
        </w:rPr>
        <w:t>运维</w:t>
      </w:r>
      <w:r>
        <w:rPr>
          <w:rFonts w:hint="eastAsia" w:ascii="宋体" w:hAnsi="宋体" w:eastAsia="宋体" w:cs="宋体"/>
          <w:color w:val="auto"/>
          <w:sz w:val="24"/>
          <w:szCs w:val="24"/>
          <w:highlight w:val="none"/>
        </w:rPr>
        <w:t>人员管理要求</w:t>
      </w:r>
      <w:bookmarkEnd w:id="22"/>
    </w:p>
    <w:p w14:paraId="5B2FCB67">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运维单位所提供维保人员必须为本单位的正式员工，签署有劳动用工合同。合同履行期间必须承诺</w:t>
      </w:r>
      <w:r>
        <w:rPr>
          <w:rFonts w:hint="eastAsia" w:ascii="宋体" w:hAnsi="宋体" w:eastAsia="宋体" w:cs="宋体"/>
          <w:color w:val="auto"/>
          <w:sz w:val="24"/>
          <w:szCs w:val="24"/>
          <w:highlight w:val="none"/>
          <w:lang w:val="en-US" w:eastAsia="zh-CN"/>
        </w:rPr>
        <w:t>运维保障时间，在保障时间内运维</w:t>
      </w:r>
      <w:r>
        <w:rPr>
          <w:rFonts w:hint="eastAsia" w:ascii="宋体" w:hAnsi="宋体" w:eastAsia="宋体" w:cs="宋体"/>
          <w:color w:val="auto"/>
          <w:sz w:val="24"/>
          <w:szCs w:val="24"/>
          <w:highlight w:val="none"/>
        </w:rPr>
        <w:t>人员不能到位的，每</w:t>
      </w:r>
      <w:r>
        <w:rPr>
          <w:rFonts w:hint="eastAsia" w:ascii="宋体" w:hAnsi="宋体" w:eastAsia="宋体" w:cs="宋体"/>
          <w:color w:val="auto"/>
          <w:sz w:val="24"/>
          <w:szCs w:val="24"/>
          <w:highlight w:val="none"/>
          <w:lang w:val="en-US" w:eastAsia="zh-CN"/>
        </w:rPr>
        <w:t>次</w:t>
      </w:r>
      <w:r>
        <w:rPr>
          <w:rFonts w:hint="eastAsia" w:ascii="宋体" w:hAnsi="宋体" w:eastAsia="宋体" w:cs="宋体"/>
          <w:color w:val="auto"/>
          <w:sz w:val="24"/>
          <w:szCs w:val="24"/>
          <w:highlight w:val="none"/>
        </w:rPr>
        <w:t>按合同总额的1%扣取违约金。维保人员应能胜任维保岗位的实际工作需要。运维单位应满足用户随时提出的人员调整要求。运维单位应保持维保队伍的稳定，对维保人员的调整须事先征得用户的书面同意。</w:t>
      </w:r>
    </w:p>
    <w:p w14:paraId="55CC818C">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远程运维支持技术</w:t>
      </w:r>
      <w:r>
        <w:rPr>
          <w:rFonts w:hint="eastAsia" w:ascii="宋体" w:hAnsi="宋体" w:eastAsia="宋体" w:cs="宋体"/>
          <w:color w:val="auto"/>
          <w:sz w:val="24"/>
          <w:szCs w:val="24"/>
          <w:highlight w:val="none"/>
        </w:rPr>
        <w:t>管理要求</w:t>
      </w:r>
    </w:p>
    <w:p w14:paraId="624F11A0">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提供设备7×24小时远程电话技术咨询、故障申报受理服务</w:t>
      </w:r>
      <w:r>
        <w:rPr>
          <w:rFonts w:hint="eastAsia" w:ascii="宋体" w:hAnsi="宋体" w:eastAsia="宋体" w:cs="宋体"/>
          <w:color w:val="auto"/>
          <w:sz w:val="24"/>
          <w:szCs w:val="24"/>
          <w:highlight w:val="none"/>
          <w:lang w:eastAsia="zh-CN"/>
        </w:rPr>
        <w:t>，当设备发生严重故障时，可以致电</w:t>
      </w:r>
      <w:r>
        <w:rPr>
          <w:rFonts w:hint="eastAsia" w:ascii="宋体" w:hAnsi="宋体" w:eastAsia="宋体" w:cs="宋体"/>
          <w:color w:val="auto"/>
          <w:sz w:val="24"/>
          <w:szCs w:val="24"/>
          <w:highlight w:val="none"/>
          <w:lang w:val="en-US" w:eastAsia="zh-CN"/>
        </w:rPr>
        <w:t>运维单位</w:t>
      </w:r>
      <w:r>
        <w:rPr>
          <w:rFonts w:hint="eastAsia" w:ascii="宋体" w:hAnsi="宋体" w:eastAsia="宋体" w:cs="宋体"/>
          <w:color w:val="auto"/>
          <w:sz w:val="24"/>
          <w:szCs w:val="24"/>
          <w:highlight w:val="none"/>
          <w:lang w:eastAsia="zh-CN"/>
        </w:rPr>
        <w:t>进行问题定位和解决，能在报告问题后在</w:t>
      </w:r>
      <w:r>
        <w:rPr>
          <w:rFonts w:hint="eastAsia" w:ascii="宋体" w:hAnsi="宋体" w:eastAsia="宋体" w:cs="宋体"/>
          <w:color w:val="auto"/>
          <w:sz w:val="24"/>
          <w:szCs w:val="24"/>
          <w:highlight w:val="none"/>
          <w:lang w:val="en-US" w:eastAsia="zh-CN"/>
        </w:rPr>
        <w:t>马上</w:t>
      </w:r>
      <w:r>
        <w:rPr>
          <w:rFonts w:hint="eastAsia" w:ascii="宋体" w:hAnsi="宋体" w:eastAsia="宋体" w:cs="宋体"/>
          <w:color w:val="auto"/>
          <w:sz w:val="24"/>
          <w:szCs w:val="24"/>
          <w:highlight w:val="none"/>
          <w:lang w:eastAsia="zh-CN"/>
        </w:rPr>
        <w:t>进行响应，</w:t>
      </w:r>
      <w:r>
        <w:rPr>
          <w:rFonts w:hint="eastAsia" w:ascii="宋体" w:hAnsi="宋体" w:eastAsia="宋体" w:cs="宋体"/>
          <w:color w:val="auto"/>
          <w:sz w:val="24"/>
          <w:szCs w:val="24"/>
          <w:highlight w:val="none"/>
          <w:lang w:val="en-US" w:eastAsia="zh-CN"/>
        </w:rPr>
        <w:t>30分钟内到现场处理。</w:t>
      </w:r>
    </w:p>
    <w:p w14:paraId="3F51A397">
      <w:pPr>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textAlignment w:val="auto"/>
        <w:outlineLvl w:val="9"/>
        <w:rPr>
          <w:rFonts w:hint="eastAsia" w:ascii="宋体" w:hAnsi="宋体" w:eastAsia="宋体" w:cs="宋体"/>
          <w:color w:val="auto"/>
          <w:sz w:val="24"/>
          <w:szCs w:val="24"/>
          <w:highlight w:val="none"/>
        </w:rPr>
      </w:pPr>
      <w:bookmarkStart w:id="23" w:name="_Toc26171"/>
      <w:bookmarkStart w:id="24" w:name="_Toc887"/>
      <w:bookmarkStart w:id="25" w:name="_Toc496622175"/>
      <w:bookmarkStart w:id="26" w:name="_Toc499211999"/>
      <w:bookmarkStart w:id="27" w:name="_Toc490764597"/>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、运维服务工作内容</w:t>
      </w:r>
      <w:bookmarkEnd w:id="23"/>
      <w:bookmarkEnd w:id="24"/>
    </w:p>
    <w:p w14:paraId="715928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bookmarkStart w:id="28" w:name="_Toc31517"/>
      <w:bookmarkStart w:id="29" w:name="_Toc4292"/>
      <w:r>
        <w:rPr>
          <w:rFonts w:hint="eastAsia" w:ascii="宋体" w:hAnsi="宋体" w:eastAsia="宋体" w:cs="宋体"/>
          <w:sz w:val="24"/>
          <w:szCs w:val="24"/>
          <w:lang w:val="en-US" w:eastAsia="zh-CN"/>
        </w:rPr>
        <w:t>1、综合布线系统：</w:t>
      </w:r>
      <w:r>
        <w:rPr>
          <w:rFonts w:hint="eastAsia" w:ascii="宋体" w:hAnsi="宋体" w:eastAsia="宋体" w:cs="宋体"/>
          <w:color w:val="auto"/>
          <w:sz w:val="24"/>
          <w:szCs w:val="24"/>
          <w:lang w:val="en-US" w:eastAsia="zh-CN"/>
        </w:rPr>
        <w:t>不少于2200个内外网络及语音信息点</w:t>
      </w:r>
      <w:r>
        <w:rPr>
          <w:rFonts w:hint="eastAsia" w:ascii="宋体" w:hAnsi="宋体" w:eastAsia="宋体" w:cs="宋体"/>
          <w:sz w:val="24"/>
          <w:szCs w:val="24"/>
          <w:lang w:val="en-US" w:eastAsia="zh-CN"/>
        </w:rPr>
        <w:t>的维保，含前后端保障系统正常运行的所需的所有设备和主材、辅材。</w:t>
      </w:r>
    </w:p>
    <w:p w14:paraId="6A211F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2、网络系统：物理隔离的内、外办公网络系统、无线WIFI系统、电话语音系统、智能化专网系统包含（ 不少于2台万兆核心交换设备、不少于100台的各种交换机、不少于80个楼层间的无线AP）等保障系统正常运行的所需的所有设备和主材、辅材。</w:t>
      </w:r>
    </w:p>
    <w:p w14:paraId="11B4EB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3、机房设备：模块化UPS系统1套、精密空调1套、防雷系统设备的设备和材、辅材。</w:t>
      </w:r>
    </w:p>
    <w:p w14:paraId="758E60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视频监控系统：1套明厨亮灶视频监控（1台32路NVR、14个AI红外摄像机）、7套招投标室视频监控（7台4路NVR、15个AI红外摄像机及监听器）、1套大楼公共区域安防视频监控（拼接屏1套（6块55寸屏）、约110个各类监控摄像机、视频存储1套、云存储1项）及保障系统正常运行的所需的所有设备和主材、辅材。</w:t>
      </w:r>
    </w:p>
    <w:p w14:paraId="06ACDA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5、门禁考勤系统：服务器1套，不少于25套人脸识别门禁考勤设备、不少于12套办公室指纹锁及配套的各门锁及保障系统正常运行的所需的所有设备和主材、辅材。</w:t>
      </w:r>
    </w:p>
    <w:p w14:paraId="4671E1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6、背景音乐系统：整幢大楼公共区域背景音乐，消防紧急广播及健身房背景音乐（包含5台功放、15个不同类式音箱及相关配套设备若干），保障系统正常运行的所需的所有设备和主材、辅材。</w:t>
      </w:r>
    </w:p>
    <w:p w14:paraId="58F072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7、信息发布系统：5套引导屏和1楼大厅、26楼报告厅、2楼户外、会议条屏、食堂LED显示屏不少于100平方LED大屏前、后端保障系统正常运行的所需的所有设备和主材、辅材。</w:t>
      </w:r>
    </w:p>
    <w:p w14:paraId="0C5423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8、远程议系统：1套云平台、4套主会场终端、9套分会场终端及含前后端保障系统正常运行的所需的所有设备和主材、辅材。</w:t>
      </w:r>
    </w:p>
    <w:p w14:paraId="55B55F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9、巡更系统：不少于80个巡更点、3套巡更棒、管理电脑。</w:t>
      </w:r>
    </w:p>
    <w:p w14:paraId="39AA31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10、大小会议室智能化系统：整幢大楼各层的大、小会议室约15个（含15套扩声设备、10台65寸会议平板、6套投影仪）及含前后端保障系统正常运行的所需的所有设备和主材、辅材。</w:t>
      </w:r>
    </w:p>
    <w:p w14:paraId="5DE1F5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11、展厅智能化系统：26楼展厅智能化（含1套26平方LED曲面屏、98寸人机交互一体机、2套扩声系统、1套钜阵系统、1套中控系统）及含前后端保障系统正常运行的所需的所有设备和主材、辅材。</w:t>
      </w:r>
    </w:p>
    <w:p w14:paraId="395378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12、多功能报告厅多媒体系统：</w:t>
      </w:r>
      <w:r>
        <w:rPr>
          <w:rFonts w:hint="eastAsia" w:ascii="宋体" w:hAnsi="宋体" w:eastAsia="宋体" w:cs="宋体"/>
          <w:sz w:val="24"/>
          <w:szCs w:val="24"/>
          <w:lang w:eastAsia="zh-CN"/>
        </w:rPr>
        <w:t>26楼多功能报告厅智能化（含1套20平方LED屏、1套扩声系统（含线阵、返听、台唇、辅助、调音台等）、1套钜阵系统、1套中控系统、1套会议系统）及含前后端保障系统正常运行的所需的所有设备和主材、辅材。</w:t>
      </w:r>
    </w:p>
    <w:p w14:paraId="59E561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13、</w:t>
      </w:r>
      <w:r>
        <w:rPr>
          <w:rFonts w:hint="eastAsia" w:ascii="宋体" w:hAnsi="宋体" w:eastAsia="宋体" w:cs="宋体"/>
          <w:sz w:val="24"/>
          <w:szCs w:val="24"/>
          <w:lang w:val="en-US" w:eastAsia="zh-CN"/>
        </w:rPr>
        <w:t>食堂消费系统：2台POS消费机、5500套各种婉、碟、盘等保障系统正常运行的所需的所有设备和主材、辅材。</w:t>
      </w:r>
    </w:p>
    <w:p w14:paraId="79C290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14、保密室所有系统的维护保养。</w:t>
      </w:r>
    </w:p>
    <w:p w14:paraId="7C4050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15、定期对网络资产进行安全巡检，监测网络资产的安全运行状态，并对安全性进行分析，制定相应的防护策略。</w:t>
      </w:r>
    </w:p>
    <w:p w14:paraId="7187893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lang w:val="en-US" w:eastAsia="zh-CN"/>
        </w:rPr>
        <w:t>16、配合相关部门做好不定期的网络安全攻防演练及网络安全检查。</w:t>
      </w:r>
      <w:bookmarkEnd w:id="25"/>
      <w:bookmarkEnd w:id="26"/>
      <w:bookmarkEnd w:id="27"/>
      <w:bookmarkEnd w:id="28"/>
      <w:bookmarkEnd w:id="29"/>
      <w:bookmarkStart w:id="30" w:name="_Toc496622187"/>
      <w:bookmarkStart w:id="31" w:name="_Toc490764619"/>
      <w:bookmarkStart w:id="32" w:name="_Toc496622202"/>
      <w:bookmarkStart w:id="33" w:name="_Toc490764639"/>
    </w:p>
    <w:p w14:paraId="225C07F4">
      <w:pPr>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textAlignment w:val="auto"/>
        <w:outlineLvl w:val="9"/>
        <w:rPr>
          <w:rFonts w:hint="eastAsia" w:ascii="宋体" w:hAnsi="宋体" w:eastAsia="宋体" w:cs="宋体"/>
          <w:color w:val="auto"/>
          <w:sz w:val="24"/>
          <w:szCs w:val="24"/>
          <w:highlight w:val="none"/>
        </w:rPr>
      </w:pPr>
      <w:bookmarkStart w:id="34" w:name="_Toc4279"/>
      <w:bookmarkStart w:id="35" w:name="_Toc7056"/>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、定期巡检及节假日保障</w:t>
      </w:r>
      <w:bookmarkEnd w:id="34"/>
      <w:bookmarkEnd w:id="35"/>
    </w:p>
    <w:p w14:paraId="479F8A80">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bookmarkStart w:id="36" w:name="_Toc29917"/>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定期巡检</w:t>
      </w:r>
      <w:bookmarkEnd w:id="36"/>
    </w:p>
    <w:p w14:paraId="273E63D9">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（1）每季度至少对所有前端设备（摄像机、音响、门禁，显示器等）、机房设备到现场进行一次巡检，确保设备正常稳定工作。</w:t>
      </w:r>
    </w:p>
    <w:p w14:paraId="20A9B43B">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（2）每月至少对所有录像资料进行一次回放测试，检查监控系统录像是否正常，避免发生不能录像、录像质量差等情况。</w:t>
      </w:r>
    </w:p>
    <w:p w14:paraId="3C02DF39">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（3）每</w:t>
      </w:r>
      <w:r>
        <w:rPr>
          <w:rFonts w:hint="eastAsia" w:ascii="宋体" w:hAnsi="宋体" w:eastAsia="宋体" w:cs="宋体"/>
          <w:color w:val="auto"/>
          <w:sz w:val="24"/>
          <w:szCs w:val="24"/>
          <w:highlight w:val="none"/>
          <w:lang w:val="en-US" w:eastAsia="zh-CN"/>
        </w:rPr>
        <w:t>月</w:t>
      </w:r>
      <w:r>
        <w:rPr>
          <w:rFonts w:hint="eastAsia" w:ascii="宋体" w:hAnsi="宋体" w:eastAsia="宋体" w:cs="宋体"/>
          <w:color w:val="auto"/>
          <w:sz w:val="24"/>
          <w:szCs w:val="24"/>
          <w:highlight w:val="none"/>
        </w:rPr>
        <w:t>对前端设备位置、对应关系进行检查，并确保设备配置信息与实际一致。</w:t>
      </w:r>
    </w:p>
    <w:p w14:paraId="1620F812">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bookmarkStart w:id="37" w:name="_Toc5868"/>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故障处理及维修服务</w:t>
      </w:r>
      <w:bookmarkEnd w:id="30"/>
      <w:bookmarkEnd w:id="31"/>
      <w:bookmarkEnd w:id="37"/>
    </w:p>
    <w:p w14:paraId="0A8C7E88">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运维服务单位针对系统工程提供系统/设备故障响应、排查及维修服务，派遣相应技术人员提供</w:t>
      </w:r>
      <w:r>
        <w:rPr>
          <w:rFonts w:hint="eastAsia" w:ascii="宋体" w:hAnsi="宋体" w:eastAsia="宋体" w:cs="宋体"/>
          <w:color w:val="auto"/>
          <w:sz w:val="24"/>
          <w:szCs w:val="24"/>
          <w:highlight w:val="none"/>
          <w:lang w:val="en-US" w:eastAsia="zh-CN"/>
        </w:rPr>
        <w:t>现</w:t>
      </w:r>
      <w:r>
        <w:rPr>
          <w:rFonts w:hint="eastAsia" w:ascii="宋体" w:hAnsi="宋体" w:eastAsia="宋体" w:cs="宋体"/>
          <w:color w:val="auto"/>
          <w:sz w:val="24"/>
          <w:szCs w:val="24"/>
          <w:highlight w:val="none"/>
        </w:rPr>
        <w:t>场技术支持。运维服务单位应与本工程建设的原总包方、</w:t>
      </w:r>
      <w:r>
        <w:rPr>
          <w:rFonts w:hint="eastAsia" w:ascii="宋体" w:hAnsi="宋体" w:eastAsia="宋体" w:cs="宋体"/>
          <w:color w:val="auto"/>
          <w:sz w:val="24"/>
          <w:szCs w:val="24"/>
          <w:highlight w:val="none"/>
          <w:lang w:eastAsia="zh-CN"/>
        </w:rPr>
        <w:t>中选人</w:t>
      </w:r>
      <w:r>
        <w:rPr>
          <w:rFonts w:hint="eastAsia" w:ascii="宋体" w:hAnsi="宋体" w:eastAsia="宋体" w:cs="宋体"/>
          <w:color w:val="auto"/>
          <w:sz w:val="24"/>
          <w:szCs w:val="24"/>
          <w:highlight w:val="none"/>
        </w:rPr>
        <w:t>、原厂等干系单位积极对接，对业主上报的或通过日常监控及巡检发现的系统或设备故障，由运维服务单位进行排查分析，定位故障原因，研判故障的责任主体，如为产品质量问题，对于处于质保期内的，协调上述相应的干系单位进行处理；超过质保期的，由运维服务单位对系统工程运维范围中涉及到的主要设备提供维修服务，先进行故障恢复，修复过程中产生的维修费、设备更换费用参照市场评估价，每季度据实结算。</w:t>
      </w:r>
    </w:p>
    <w:p w14:paraId="5AB4D37E">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服务单位在维修及维护工作中，若遇到特殊情况（如线路损坏、缺少备件等），无法立即修复的情况，必须首先提出维修方案并采取有效措施(如使用同类型备件暂时替换使用)尽量使故障减少到中最小，以保证系统在最大限度内正常工作。在日常运维工作中，运维服务单位应满足以下系统工程故障响应和恢复时间要求：</w:t>
      </w:r>
    </w:p>
    <w:tbl>
      <w:tblPr>
        <w:tblStyle w:val="8"/>
        <w:tblpPr w:leftFromText="180" w:rightFromText="180" w:vertAnchor="text" w:horzAnchor="page" w:tblpX="1707" w:tblpY="31"/>
        <w:tblOverlap w:val="never"/>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377"/>
        <w:gridCol w:w="1613"/>
        <w:gridCol w:w="2612"/>
        <w:gridCol w:w="2762"/>
      </w:tblGrid>
      <w:tr w14:paraId="3186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160" w:type="dxa"/>
            <w:gridSpan w:val="5"/>
            <w:noWrap w:val="0"/>
            <w:vAlign w:val="center"/>
          </w:tcPr>
          <w:p w14:paraId="68C6EF5A">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bookmarkStart w:id="38" w:name="_Toc490764620"/>
            <w:bookmarkStart w:id="39" w:name="_Toc496622189"/>
            <w:bookmarkStart w:id="40" w:name="_Toc364"/>
            <w:r>
              <w:rPr>
                <w:rFonts w:hint="eastAsia" w:ascii="宋体" w:hAnsi="宋体" w:eastAsia="宋体" w:cs="宋体"/>
                <w:color w:val="auto"/>
                <w:sz w:val="24"/>
                <w:szCs w:val="24"/>
                <w:highlight w:val="none"/>
              </w:rPr>
              <w:t>系统工程</w:t>
            </w:r>
          </w:p>
        </w:tc>
      </w:tr>
      <w:tr w14:paraId="447AC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96" w:type="dxa"/>
            <w:noWrap w:val="0"/>
            <w:vAlign w:val="center"/>
          </w:tcPr>
          <w:p w14:paraId="54804EDB">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377" w:type="dxa"/>
            <w:noWrap w:val="0"/>
            <w:vAlign w:val="center"/>
          </w:tcPr>
          <w:p w14:paraId="2DB6176C">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作业项目</w:t>
            </w:r>
          </w:p>
        </w:tc>
        <w:tc>
          <w:tcPr>
            <w:tcW w:w="1613" w:type="dxa"/>
            <w:noWrap w:val="0"/>
            <w:vAlign w:val="center"/>
          </w:tcPr>
          <w:p w14:paraId="6F2D6423">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项目内容</w:t>
            </w:r>
          </w:p>
        </w:tc>
        <w:tc>
          <w:tcPr>
            <w:tcW w:w="2612" w:type="dxa"/>
            <w:noWrap w:val="0"/>
            <w:vAlign w:val="center"/>
          </w:tcPr>
          <w:p w14:paraId="297CF342">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响应时间</w:t>
            </w:r>
          </w:p>
        </w:tc>
        <w:tc>
          <w:tcPr>
            <w:tcW w:w="2762" w:type="dxa"/>
            <w:noWrap w:val="0"/>
            <w:vAlign w:val="center"/>
          </w:tcPr>
          <w:p w14:paraId="1AF8743B">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恢复时间</w:t>
            </w:r>
          </w:p>
        </w:tc>
      </w:tr>
      <w:tr w14:paraId="149F6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96" w:type="dxa"/>
            <w:vMerge w:val="restart"/>
            <w:noWrap w:val="0"/>
            <w:vAlign w:val="center"/>
          </w:tcPr>
          <w:p w14:paraId="53485168">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377" w:type="dxa"/>
            <w:vMerge w:val="restart"/>
            <w:noWrap w:val="0"/>
            <w:vAlign w:val="center"/>
          </w:tcPr>
          <w:p w14:paraId="4DB0E77B">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故障处理 </w:t>
            </w:r>
          </w:p>
        </w:tc>
        <w:tc>
          <w:tcPr>
            <w:tcW w:w="1613" w:type="dxa"/>
            <w:vMerge w:val="restart"/>
            <w:noWrap w:val="0"/>
            <w:vAlign w:val="center"/>
          </w:tcPr>
          <w:p w14:paraId="77E340B1">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受理业务部门故障申告</w:t>
            </w:r>
          </w:p>
        </w:tc>
        <w:tc>
          <w:tcPr>
            <w:tcW w:w="2612" w:type="dxa"/>
            <w:noWrap w:val="0"/>
            <w:vAlign w:val="center"/>
          </w:tcPr>
          <w:p w14:paraId="798F3B56">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重大故障：≤30分钟</w:t>
            </w:r>
          </w:p>
        </w:tc>
        <w:tc>
          <w:tcPr>
            <w:tcW w:w="2762" w:type="dxa"/>
            <w:noWrap w:val="0"/>
            <w:vAlign w:val="center"/>
          </w:tcPr>
          <w:p w14:paraId="35C3D1A8">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重大故障：≤4小时</w:t>
            </w:r>
          </w:p>
        </w:tc>
      </w:tr>
      <w:tr w14:paraId="19BB8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96" w:type="dxa"/>
            <w:vMerge w:val="continue"/>
            <w:noWrap w:val="0"/>
            <w:vAlign w:val="center"/>
          </w:tcPr>
          <w:p w14:paraId="16FA5E7E">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377" w:type="dxa"/>
            <w:vMerge w:val="continue"/>
            <w:noWrap w:val="0"/>
            <w:vAlign w:val="center"/>
          </w:tcPr>
          <w:p w14:paraId="1C7244E9">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613" w:type="dxa"/>
            <w:vMerge w:val="continue"/>
            <w:noWrap w:val="0"/>
            <w:vAlign w:val="center"/>
          </w:tcPr>
          <w:p w14:paraId="3AD94905">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2612" w:type="dxa"/>
            <w:noWrap w:val="0"/>
            <w:vAlign w:val="center"/>
          </w:tcPr>
          <w:p w14:paraId="5FADFE8C">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故障：≤60分钟</w:t>
            </w:r>
          </w:p>
        </w:tc>
        <w:tc>
          <w:tcPr>
            <w:tcW w:w="2762" w:type="dxa"/>
            <w:noWrap w:val="0"/>
            <w:vAlign w:val="center"/>
          </w:tcPr>
          <w:p w14:paraId="05B82483">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故障：≤8小时</w:t>
            </w:r>
          </w:p>
        </w:tc>
      </w:tr>
      <w:tr w14:paraId="307E7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96" w:type="dxa"/>
            <w:vMerge w:val="continue"/>
            <w:noWrap w:val="0"/>
            <w:vAlign w:val="center"/>
          </w:tcPr>
          <w:p w14:paraId="3B54EF7D">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377" w:type="dxa"/>
            <w:vMerge w:val="continue"/>
            <w:noWrap w:val="0"/>
            <w:vAlign w:val="center"/>
          </w:tcPr>
          <w:p w14:paraId="6A4FCB37">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613" w:type="dxa"/>
            <w:vMerge w:val="continue"/>
            <w:noWrap w:val="0"/>
            <w:vAlign w:val="center"/>
          </w:tcPr>
          <w:p w14:paraId="043D5028">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2612" w:type="dxa"/>
            <w:noWrap w:val="0"/>
            <w:vAlign w:val="center"/>
          </w:tcPr>
          <w:p w14:paraId="04707183">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一般故障：≤60分钟</w:t>
            </w:r>
          </w:p>
        </w:tc>
        <w:tc>
          <w:tcPr>
            <w:tcW w:w="2762" w:type="dxa"/>
            <w:noWrap w:val="0"/>
            <w:vAlign w:val="center"/>
          </w:tcPr>
          <w:p w14:paraId="76A7A695">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一般故障：≤24小时</w:t>
            </w:r>
          </w:p>
        </w:tc>
      </w:tr>
      <w:tr w14:paraId="6AE38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96" w:type="dxa"/>
            <w:vMerge w:val="continue"/>
            <w:noWrap w:val="0"/>
            <w:vAlign w:val="center"/>
          </w:tcPr>
          <w:p w14:paraId="0F23360A">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377" w:type="dxa"/>
            <w:vMerge w:val="continue"/>
            <w:noWrap w:val="0"/>
            <w:vAlign w:val="center"/>
          </w:tcPr>
          <w:p w14:paraId="41086998">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613" w:type="dxa"/>
            <w:vMerge w:val="continue"/>
            <w:noWrap w:val="0"/>
            <w:vAlign w:val="center"/>
          </w:tcPr>
          <w:p w14:paraId="051C2FCF">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2612" w:type="dxa"/>
            <w:noWrap w:val="0"/>
            <w:vAlign w:val="center"/>
          </w:tcPr>
          <w:p w14:paraId="1B947B6C">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其它故障：≤60分钟</w:t>
            </w:r>
          </w:p>
        </w:tc>
        <w:tc>
          <w:tcPr>
            <w:tcW w:w="2762" w:type="dxa"/>
            <w:noWrap w:val="0"/>
            <w:vAlign w:val="center"/>
          </w:tcPr>
          <w:p w14:paraId="568898E2">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其它故障：≤48小时</w:t>
            </w:r>
          </w:p>
        </w:tc>
      </w:tr>
    </w:tbl>
    <w:p w14:paraId="7C383614">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）节假日保障</w:t>
      </w:r>
      <w:bookmarkEnd w:id="38"/>
      <w:bookmarkEnd w:id="39"/>
      <w:bookmarkEnd w:id="40"/>
    </w:p>
    <w:p w14:paraId="4926A8B5">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遇到国家节假日，运维服务单位应提前安排工作人员进行必要巡检，安排技术人员值班，如发生故障要及时处理。</w:t>
      </w:r>
    </w:p>
    <w:p w14:paraId="6968E6A1">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运维服务单位所派出的</w:t>
      </w:r>
      <w:r>
        <w:rPr>
          <w:rFonts w:hint="eastAsia" w:ascii="宋体" w:hAnsi="宋体" w:eastAsia="宋体" w:cs="宋体"/>
          <w:color w:val="auto"/>
          <w:sz w:val="24"/>
          <w:szCs w:val="24"/>
          <w:highlight w:val="none"/>
          <w:lang w:val="en-US" w:eastAsia="zh-CN"/>
        </w:rPr>
        <w:t>现</w:t>
      </w:r>
      <w:r>
        <w:rPr>
          <w:rFonts w:hint="eastAsia" w:ascii="宋体" w:hAnsi="宋体" w:eastAsia="宋体" w:cs="宋体"/>
          <w:color w:val="auto"/>
          <w:sz w:val="24"/>
          <w:szCs w:val="24"/>
          <w:highlight w:val="none"/>
        </w:rPr>
        <w:t>场技术人员，必须遵守政府的各项法规和客户的各项规章制度，服从客户的领导，听从客户的工作安排。</w:t>
      </w:r>
    </w:p>
    <w:p w14:paraId="543D6F9C">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运维服务单位所派出的技术人员必须能胜任所承担的工作。在派出之前，运维服务单位应向</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提交拟派人员名单，在征得</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同意之后方能派出。</w:t>
      </w:r>
    </w:p>
    <w:p w14:paraId="01C1D5B8">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bookmarkStart w:id="41" w:name="_Toc23383"/>
      <w:bookmarkStart w:id="42" w:name="_Toc490764621"/>
      <w:bookmarkStart w:id="43" w:name="_Toc496622190"/>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）系统升级及优化改善</w:t>
      </w:r>
      <w:bookmarkEnd w:id="41"/>
      <w:bookmarkEnd w:id="42"/>
      <w:bookmarkEnd w:id="43"/>
    </w:p>
    <w:p w14:paraId="2F34EA7C">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结合设备</w:t>
      </w:r>
      <w:r>
        <w:rPr>
          <w:rFonts w:hint="eastAsia" w:ascii="宋体" w:hAnsi="宋体" w:eastAsia="宋体" w:cs="宋体"/>
          <w:color w:val="auto"/>
          <w:sz w:val="24"/>
          <w:szCs w:val="24"/>
          <w:highlight w:val="none"/>
          <w:lang w:eastAsia="zh-CN"/>
        </w:rPr>
        <w:t>中选人</w:t>
      </w:r>
      <w:r>
        <w:rPr>
          <w:rFonts w:hint="eastAsia" w:ascii="宋体" w:hAnsi="宋体" w:eastAsia="宋体" w:cs="宋体"/>
          <w:color w:val="auto"/>
          <w:sz w:val="24"/>
          <w:szCs w:val="24"/>
          <w:highlight w:val="none"/>
        </w:rPr>
        <w:t>新版本发布和应用情况，运维服务单位及时对服务器、存储设备、备份设备、网络设备、安全防护设备、通信设备等系统工程相关平台软件进行版本升级服务，同时按照业主要求不定期对系统工程设备口令进行修改，所有升级或密码更新工作不应影响应指工程视频平台系统正常运行。</w:t>
      </w:r>
    </w:p>
    <w:p w14:paraId="4A5BED80">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运维服务单位应根据系统运行情况，及时对系统工程设备/系统的配置参数进行优化调整，保证系统工程设备的稳定运行。</w:t>
      </w:r>
    </w:p>
    <w:p w14:paraId="36FB1DC9">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bookmarkStart w:id="44" w:name="_Toc496622192"/>
      <w:bookmarkStart w:id="45" w:name="_Toc490764623"/>
      <w:bookmarkStart w:id="46" w:name="_Toc7939"/>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bookmarkEnd w:id="44"/>
      <w:bookmarkEnd w:id="45"/>
      <w:r>
        <w:rPr>
          <w:rFonts w:hint="eastAsia" w:ascii="宋体" w:hAnsi="宋体" w:eastAsia="宋体" w:cs="宋体"/>
          <w:color w:val="auto"/>
          <w:sz w:val="24"/>
          <w:szCs w:val="24"/>
          <w:highlight w:val="none"/>
        </w:rPr>
        <w:t>清洁服务要求</w:t>
      </w:r>
      <w:bookmarkEnd w:id="46"/>
    </w:p>
    <w:p w14:paraId="792FAC75">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定期清洁系统工程主要设备，包括视频存储、服务器、网络设备等，每季度至少一次。</w:t>
      </w:r>
    </w:p>
    <w:tbl>
      <w:tblPr>
        <w:tblStyle w:val="8"/>
        <w:tblpPr w:leftFromText="180" w:rightFromText="180" w:vertAnchor="text" w:horzAnchor="page" w:tblpX="1311" w:tblpY="384"/>
        <w:tblOverlap w:val="never"/>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6"/>
        <w:gridCol w:w="1563"/>
        <w:gridCol w:w="1467"/>
        <w:gridCol w:w="1467"/>
        <w:gridCol w:w="1467"/>
        <w:gridCol w:w="1467"/>
      </w:tblGrid>
      <w:tr w14:paraId="098C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6" w:type="dxa"/>
            <w:vMerge w:val="restart"/>
            <w:noWrap w:val="0"/>
            <w:vAlign w:val="center"/>
          </w:tcPr>
          <w:p w14:paraId="2B366AD5">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bookmarkStart w:id="47" w:name="_Toc18089"/>
            <w:bookmarkStart w:id="48" w:name="_Toc496622193"/>
            <w:bookmarkStart w:id="49" w:name="_Toc490764624"/>
            <w:r>
              <w:rPr>
                <w:rFonts w:hint="eastAsia" w:ascii="宋体" w:hAnsi="宋体" w:eastAsia="宋体" w:cs="宋体"/>
                <w:color w:val="auto"/>
                <w:sz w:val="24"/>
                <w:szCs w:val="24"/>
                <w:highlight w:val="none"/>
              </w:rPr>
              <w:t>设备名称</w:t>
            </w:r>
          </w:p>
        </w:tc>
        <w:tc>
          <w:tcPr>
            <w:tcW w:w="1563" w:type="dxa"/>
            <w:vMerge w:val="restart"/>
            <w:noWrap w:val="0"/>
            <w:vAlign w:val="center"/>
          </w:tcPr>
          <w:p w14:paraId="50409D8B">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IP地址</w:t>
            </w:r>
          </w:p>
        </w:tc>
        <w:tc>
          <w:tcPr>
            <w:tcW w:w="5868" w:type="dxa"/>
            <w:gridSpan w:val="4"/>
            <w:noWrap w:val="0"/>
            <w:vAlign w:val="center"/>
          </w:tcPr>
          <w:p w14:paraId="2F9F4982">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清洁时间</w:t>
            </w:r>
          </w:p>
        </w:tc>
      </w:tr>
      <w:tr w14:paraId="03B13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6" w:type="dxa"/>
            <w:vMerge w:val="continue"/>
            <w:noWrap w:val="0"/>
            <w:vAlign w:val="center"/>
          </w:tcPr>
          <w:p w14:paraId="19C3F826">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563" w:type="dxa"/>
            <w:vMerge w:val="continue"/>
            <w:noWrap w:val="0"/>
            <w:vAlign w:val="top"/>
          </w:tcPr>
          <w:p w14:paraId="7FCC2580">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68C6CC4B">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一季度</w:t>
            </w:r>
          </w:p>
        </w:tc>
        <w:tc>
          <w:tcPr>
            <w:tcW w:w="1467" w:type="dxa"/>
            <w:noWrap w:val="0"/>
            <w:vAlign w:val="center"/>
          </w:tcPr>
          <w:p w14:paraId="514E899F">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二季度</w:t>
            </w:r>
          </w:p>
        </w:tc>
        <w:tc>
          <w:tcPr>
            <w:tcW w:w="1467" w:type="dxa"/>
            <w:noWrap w:val="0"/>
            <w:vAlign w:val="center"/>
          </w:tcPr>
          <w:p w14:paraId="5C31BCEB">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三季度</w:t>
            </w:r>
          </w:p>
        </w:tc>
        <w:tc>
          <w:tcPr>
            <w:tcW w:w="1467" w:type="dxa"/>
            <w:noWrap w:val="0"/>
            <w:vAlign w:val="center"/>
          </w:tcPr>
          <w:p w14:paraId="4077D835">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四季度</w:t>
            </w:r>
          </w:p>
        </w:tc>
      </w:tr>
      <w:tr w14:paraId="1E66C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6" w:type="dxa"/>
            <w:noWrap w:val="0"/>
            <w:vAlign w:val="center"/>
          </w:tcPr>
          <w:p w14:paraId="212041CC">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563" w:type="dxa"/>
            <w:noWrap w:val="0"/>
            <w:vAlign w:val="top"/>
          </w:tcPr>
          <w:p w14:paraId="3EE0691A">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18F6C99C">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0680D334">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7B4EC932">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0BBDC254">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r>
      <w:tr w14:paraId="0DD1F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6" w:type="dxa"/>
            <w:noWrap w:val="0"/>
            <w:vAlign w:val="center"/>
          </w:tcPr>
          <w:p w14:paraId="3003CBC3">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563" w:type="dxa"/>
            <w:noWrap w:val="0"/>
            <w:vAlign w:val="top"/>
          </w:tcPr>
          <w:p w14:paraId="05E0A48D">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1A71414C">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420FA836">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4C18718D">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2A45E1CB">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r>
      <w:tr w14:paraId="6C5D6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6" w:type="dxa"/>
            <w:noWrap w:val="0"/>
            <w:vAlign w:val="center"/>
          </w:tcPr>
          <w:p w14:paraId="11964EBE">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563" w:type="dxa"/>
            <w:noWrap w:val="0"/>
            <w:vAlign w:val="top"/>
          </w:tcPr>
          <w:p w14:paraId="369C8E30">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21B980E1">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5F396ACF">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27046203">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29508FB2">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r>
      <w:tr w14:paraId="1DE67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6" w:type="dxa"/>
            <w:noWrap w:val="0"/>
            <w:vAlign w:val="center"/>
          </w:tcPr>
          <w:p w14:paraId="726D3130">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563" w:type="dxa"/>
            <w:noWrap w:val="0"/>
            <w:vAlign w:val="top"/>
          </w:tcPr>
          <w:p w14:paraId="397D77D5">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3F28D645">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2007A16C">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2FC882D7">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15779B1C">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r>
      <w:tr w14:paraId="7AC0D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6" w:type="dxa"/>
            <w:noWrap w:val="0"/>
            <w:vAlign w:val="center"/>
          </w:tcPr>
          <w:p w14:paraId="7EE4214B">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563" w:type="dxa"/>
            <w:noWrap w:val="0"/>
            <w:vAlign w:val="top"/>
          </w:tcPr>
          <w:p w14:paraId="086135B8">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0D424A0E">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0A3EA851">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0CD43839">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c>
          <w:tcPr>
            <w:tcW w:w="1467" w:type="dxa"/>
            <w:noWrap w:val="0"/>
            <w:vAlign w:val="center"/>
          </w:tcPr>
          <w:p w14:paraId="03FCB9D7">
            <w:pPr>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rPr>
            </w:pPr>
          </w:p>
        </w:tc>
      </w:tr>
      <w:bookmarkEnd w:id="47"/>
      <w:bookmarkEnd w:id="48"/>
      <w:bookmarkEnd w:id="49"/>
    </w:tbl>
    <w:p w14:paraId="7FE4238B">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bookmarkStart w:id="50" w:name="_Toc496622196"/>
      <w:bookmarkStart w:id="51" w:name="_Toc490764627"/>
      <w:bookmarkStart w:id="52" w:name="_Toc2123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）运维资料管理</w:t>
      </w:r>
      <w:bookmarkEnd w:id="50"/>
      <w:bookmarkEnd w:id="51"/>
      <w:bookmarkEnd w:id="52"/>
    </w:p>
    <w:p w14:paraId="7BAC52E0">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服务单位负责技术资料、图纸、技术文件的收集、整理等管理工作，并根据客户要求的格式，对各项服务的运行记录、维护记录和技术文档等详细内容进行记录，按照相关规范进行审核、登记、编号和存档，保证各项服务活动可追踪、服务效果可验证。</w:t>
      </w:r>
    </w:p>
    <w:p w14:paraId="693AEAC0">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运维服务单位应定期汇总编制运维月报、季报、年报，并进行数据整理分析，提供附有图表的统计分析评估报告，同时将数据整理分析结果进行记录，形成知识库，促进客户的信息化管理能力和水平的提高。</w:t>
      </w:r>
      <w:bookmarkEnd w:id="32"/>
      <w:bookmarkEnd w:id="33"/>
      <w:bookmarkStart w:id="53" w:name="_Toc489465694"/>
      <w:bookmarkStart w:id="54" w:name="_Toc490764651"/>
      <w:bookmarkStart w:id="55" w:name="_Toc489464217"/>
    </w:p>
    <w:bookmarkEnd w:id="53"/>
    <w:bookmarkEnd w:id="54"/>
    <w:bookmarkEnd w:id="55"/>
    <w:p w14:paraId="6655AB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bookmarkStart w:id="56" w:name="_Toc16683"/>
      <w:r>
        <w:rPr>
          <w:rFonts w:hint="eastAsia" w:ascii="宋体" w:hAnsi="宋体" w:eastAsia="宋体" w:cs="宋体"/>
          <w:sz w:val="24"/>
          <w:szCs w:val="24"/>
          <w:lang w:val="en-US" w:eastAsia="zh-CN"/>
        </w:rPr>
        <w:t>五、维保费用预算清单</w:t>
      </w:r>
    </w:p>
    <w:tbl>
      <w:tblPr>
        <w:tblStyle w:val="8"/>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6"/>
        <w:gridCol w:w="2886"/>
        <w:gridCol w:w="970"/>
        <w:gridCol w:w="1002"/>
        <w:gridCol w:w="1691"/>
        <w:gridCol w:w="2569"/>
      </w:tblGrid>
      <w:tr w14:paraId="697FF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420" w:type="pct"/>
            <w:tcBorders>
              <w:top w:val="single" w:color="000000" w:sz="4" w:space="0"/>
              <w:left w:val="single" w:color="000000" w:sz="4" w:space="0"/>
              <w:bottom w:val="single" w:color="000000" w:sz="4" w:space="0"/>
              <w:right w:val="single" w:color="000000" w:sz="4" w:space="0"/>
            </w:tcBorders>
            <w:noWrap w:val="0"/>
            <w:vAlign w:val="center"/>
          </w:tcPr>
          <w:p w14:paraId="5524FC05">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序号</w:t>
            </w:r>
          </w:p>
        </w:tc>
        <w:tc>
          <w:tcPr>
            <w:tcW w:w="1449" w:type="pct"/>
            <w:tcBorders>
              <w:top w:val="single" w:color="000000" w:sz="4" w:space="0"/>
              <w:left w:val="single" w:color="000000" w:sz="4" w:space="0"/>
              <w:bottom w:val="single" w:color="000000" w:sz="4" w:space="0"/>
              <w:right w:val="single" w:color="000000" w:sz="4" w:space="0"/>
            </w:tcBorders>
            <w:noWrap w:val="0"/>
            <w:vAlign w:val="center"/>
          </w:tcPr>
          <w:p w14:paraId="355D9B33">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系统名称</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14:paraId="0E8FD46F">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单位</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14:paraId="57739FB9">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数量/月</w:t>
            </w:r>
          </w:p>
        </w:tc>
        <w:tc>
          <w:tcPr>
            <w:tcW w:w="849" w:type="pct"/>
            <w:tcBorders>
              <w:top w:val="single" w:color="000000" w:sz="4" w:space="0"/>
              <w:left w:val="single" w:color="000000" w:sz="4" w:space="0"/>
              <w:bottom w:val="single" w:color="000000" w:sz="4" w:space="0"/>
              <w:right w:val="single" w:color="000000" w:sz="4" w:space="0"/>
            </w:tcBorders>
            <w:noWrap w:val="0"/>
            <w:vAlign w:val="center"/>
          </w:tcPr>
          <w:p w14:paraId="6FE4F1D6">
            <w:pPr>
              <w:keepNext w:val="0"/>
              <w:keepLines w:val="0"/>
              <w:pageBreakBefore w:val="0"/>
              <w:kinsoku/>
              <w:wordWrap/>
              <w:overflowPunct/>
              <w:topLinePunct w:val="0"/>
              <w:autoSpaceDE/>
              <w:autoSpaceDN/>
              <w:bidi w:val="0"/>
              <w:spacing w:line="360" w:lineRule="auto"/>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合价</w:t>
            </w:r>
          </w:p>
        </w:tc>
        <w:tc>
          <w:tcPr>
            <w:tcW w:w="1290" w:type="pct"/>
            <w:tcBorders>
              <w:top w:val="single" w:color="000000" w:sz="4" w:space="0"/>
              <w:left w:val="single" w:color="000000" w:sz="4" w:space="0"/>
              <w:bottom w:val="single" w:color="000000" w:sz="4" w:space="0"/>
              <w:right w:val="single" w:color="000000" w:sz="4" w:space="0"/>
            </w:tcBorders>
            <w:noWrap w:val="0"/>
            <w:vAlign w:val="center"/>
          </w:tcPr>
          <w:p w14:paraId="7B44BF6A">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备注</w:t>
            </w:r>
          </w:p>
        </w:tc>
      </w:tr>
      <w:tr w14:paraId="0E261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420" w:type="pct"/>
            <w:tcBorders>
              <w:top w:val="single" w:color="000000" w:sz="4" w:space="0"/>
              <w:left w:val="single" w:color="000000" w:sz="4" w:space="0"/>
              <w:bottom w:val="single" w:color="000000" w:sz="4" w:space="0"/>
              <w:right w:val="single" w:color="000000" w:sz="4" w:space="0"/>
            </w:tcBorders>
            <w:noWrap w:val="0"/>
            <w:vAlign w:val="center"/>
          </w:tcPr>
          <w:p w14:paraId="511B3555">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449" w:type="pct"/>
            <w:tcBorders>
              <w:top w:val="single" w:color="000000" w:sz="4" w:space="0"/>
              <w:left w:val="single" w:color="000000" w:sz="4" w:space="0"/>
              <w:bottom w:val="single" w:color="000000" w:sz="4" w:space="0"/>
              <w:right w:val="single" w:color="000000" w:sz="4" w:space="0"/>
            </w:tcBorders>
            <w:noWrap w:val="0"/>
            <w:vAlign w:val="center"/>
          </w:tcPr>
          <w:p w14:paraId="56F97546">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sz w:val="24"/>
                <w:szCs w:val="24"/>
                <w:lang w:val="en-US" w:eastAsia="zh-CN"/>
              </w:rPr>
              <w:t>综合布线系统</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14:paraId="7802B476">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项/月</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14:paraId="3297DCC1">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12</w:t>
            </w:r>
          </w:p>
        </w:tc>
        <w:tc>
          <w:tcPr>
            <w:tcW w:w="849" w:type="pct"/>
            <w:vMerge w:val="restart"/>
            <w:tcBorders>
              <w:top w:val="single" w:color="000000" w:sz="4" w:space="0"/>
              <w:left w:val="single" w:color="000000" w:sz="4" w:space="0"/>
              <w:right w:val="single" w:color="000000" w:sz="4" w:space="0"/>
            </w:tcBorders>
            <w:noWrap w:val="0"/>
            <w:vAlign w:val="center"/>
          </w:tcPr>
          <w:p w14:paraId="6789A4F8">
            <w:pPr>
              <w:keepNext w:val="0"/>
              <w:keepLines w:val="0"/>
              <w:pageBreakBefore w:val="0"/>
              <w:kinsoku/>
              <w:wordWrap/>
              <w:overflowPunct/>
              <w:topLinePunct w:val="0"/>
              <w:autoSpaceDE/>
              <w:autoSpaceDN/>
              <w:bidi w:val="0"/>
              <w:spacing w:line="360" w:lineRule="auto"/>
              <w:jc w:val="center"/>
              <w:rPr>
                <w:rFonts w:hint="default" w:ascii="宋体" w:hAnsi="宋体" w:eastAsia="宋体" w:cs="宋体"/>
                <w:i w:val="0"/>
                <w:iCs w:val="0"/>
                <w:color w:val="E54C5E"/>
                <w:sz w:val="24"/>
                <w:szCs w:val="24"/>
                <w:u w:val="none"/>
                <w:lang w:val="en-US" w:eastAsia="zh-CN"/>
              </w:rPr>
            </w:pPr>
            <w:r>
              <w:rPr>
                <w:rFonts w:hint="eastAsia" w:ascii="宋体" w:hAnsi="宋体" w:eastAsia="宋体" w:cs="宋体"/>
                <w:i w:val="0"/>
                <w:iCs w:val="0"/>
                <w:color w:val="auto"/>
                <w:sz w:val="24"/>
                <w:szCs w:val="24"/>
                <w:u w:val="none"/>
                <w:lang w:val="en-US" w:eastAsia="zh-CN"/>
              </w:rPr>
              <w:t>100000元/年</w:t>
            </w:r>
          </w:p>
        </w:tc>
        <w:tc>
          <w:tcPr>
            <w:tcW w:w="1290" w:type="pct"/>
            <w:vMerge w:val="restart"/>
            <w:tcBorders>
              <w:top w:val="single" w:color="000000" w:sz="4" w:space="0"/>
              <w:left w:val="single" w:color="000000" w:sz="4" w:space="0"/>
              <w:right w:val="single" w:color="000000" w:sz="4" w:space="0"/>
            </w:tcBorders>
            <w:noWrap w:val="0"/>
            <w:vAlign w:val="center"/>
          </w:tcPr>
          <w:p w14:paraId="198B0F1B">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i w:val="0"/>
                <w:iCs w:val="0"/>
                <w:color w:val="000000"/>
                <w:sz w:val="24"/>
                <w:szCs w:val="24"/>
                <w:u w:val="none"/>
              </w:rPr>
            </w:pPr>
            <w:r>
              <w:rPr>
                <w:rFonts w:hint="eastAsia" w:ascii="宋体" w:hAnsi="宋体" w:eastAsia="宋体" w:cs="宋体"/>
                <w:color w:val="auto"/>
                <w:kern w:val="0"/>
                <w:sz w:val="24"/>
                <w:szCs w:val="24"/>
                <w:highlight w:val="none"/>
                <w:lang w:bidi="ar"/>
              </w:rPr>
              <w:t>1、维护条件要求：维护单位需储备充足的备品备件，提供日常设备维护的工具、器材、备件、线材、耗材以及摄像机电源、网络跳线、报警按纽、开门按纽、交换机光模块、光纤收发器、各种线材等常用备件。</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bidi="ar"/>
              </w:rPr>
              <w:t>2、固定维护费用包含：人工费用、场地租用费用、配备维护工具费用以及人员交通、货物运输等所产生的一切费用；工器具等使用所产生的一切费用由维护单位承担；包括未在据实结算清单表内，单次返厂维修或更换100元以下的器材，单次返厂维修或更换器材超过100元的，由维护单位向业主提出，经业主评估后确定是否纳入据实结算。</w:t>
            </w:r>
          </w:p>
        </w:tc>
      </w:tr>
      <w:tr w14:paraId="30068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420" w:type="pct"/>
            <w:tcBorders>
              <w:top w:val="single" w:color="000000" w:sz="4" w:space="0"/>
              <w:left w:val="single" w:color="000000" w:sz="4" w:space="0"/>
              <w:bottom w:val="single" w:color="000000" w:sz="4" w:space="0"/>
              <w:right w:val="single" w:color="000000" w:sz="4" w:space="0"/>
            </w:tcBorders>
            <w:noWrap w:val="0"/>
            <w:vAlign w:val="center"/>
          </w:tcPr>
          <w:p w14:paraId="0392C8E0">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449" w:type="pct"/>
            <w:tcBorders>
              <w:top w:val="single" w:color="000000" w:sz="4" w:space="0"/>
              <w:left w:val="single" w:color="000000" w:sz="4" w:space="0"/>
              <w:bottom w:val="single" w:color="000000" w:sz="4" w:space="0"/>
              <w:right w:val="single" w:color="000000" w:sz="4" w:space="0"/>
            </w:tcBorders>
            <w:noWrap w:val="0"/>
            <w:vAlign w:val="center"/>
          </w:tcPr>
          <w:p w14:paraId="76A5ED6C">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sz w:val="24"/>
                <w:szCs w:val="24"/>
                <w:lang w:val="en-US" w:eastAsia="zh-CN"/>
              </w:rPr>
              <w:t>网络系统</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14:paraId="0BBEF5F7">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项/月</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14:paraId="31420529">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sz w:val="24"/>
                <w:szCs w:val="24"/>
                <w:u w:val="none"/>
                <w:lang w:val="en-US" w:eastAsia="zh-CN"/>
              </w:rPr>
              <w:t>12</w:t>
            </w:r>
          </w:p>
        </w:tc>
        <w:tc>
          <w:tcPr>
            <w:tcW w:w="849" w:type="pct"/>
            <w:vMerge w:val="continue"/>
            <w:tcBorders>
              <w:left w:val="single" w:color="000000" w:sz="4" w:space="0"/>
              <w:right w:val="single" w:color="000000" w:sz="4" w:space="0"/>
            </w:tcBorders>
            <w:noWrap w:val="0"/>
            <w:vAlign w:val="center"/>
          </w:tcPr>
          <w:p w14:paraId="05908CAB">
            <w:pPr>
              <w:keepNext w:val="0"/>
              <w:keepLines w:val="0"/>
              <w:pageBreakBefore w:val="0"/>
              <w:kinsoku/>
              <w:wordWrap/>
              <w:overflowPunct/>
              <w:topLinePunct w:val="0"/>
              <w:autoSpaceDE/>
              <w:autoSpaceDN/>
              <w:bidi w:val="0"/>
              <w:spacing w:line="360" w:lineRule="auto"/>
              <w:ind w:firstLine="240" w:firstLineChars="100"/>
              <w:jc w:val="center"/>
              <w:rPr>
                <w:rFonts w:hint="default" w:ascii="宋体" w:hAnsi="宋体" w:eastAsia="宋体" w:cs="宋体"/>
                <w:i w:val="0"/>
                <w:iCs w:val="0"/>
                <w:color w:val="E54C5E"/>
                <w:sz w:val="24"/>
                <w:szCs w:val="24"/>
                <w:u w:val="none"/>
                <w:lang w:val="en-US" w:eastAsia="zh-CN"/>
              </w:rPr>
            </w:pPr>
          </w:p>
        </w:tc>
        <w:tc>
          <w:tcPr>
            <w:tcW w:w="1290" w:type="pct"/>
            <w:vMerge w:val="continue"/>
            <w:tcBorders>
              <w:left w:val="single" w:color="000000" w:sz="4" w:space="0"/>
              <w:right w:val="single" w:color="000000" w:sz="4" w:space="0"/>
            </w:tcBorders>
            <w:noWrap w:val="0"/>
            <w:vAlign w:val="center"/>
          </w:tcPr>
          <w:p w14:paraId="765F94C3">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i w:val="0"/>
                <w:iCs w:val="0"/>
                <w:color w:val="000000"/>
                <w:sz w:val="24"/>
                <w:szCs w:val="24"/>
                <w:u w:val="none"/>
              </w:rPr>
            </w:pPr>
          </w:p>
        </w:tc>
      </w:tr>
      <w:tr w14:paraId="284AE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420" w:type="pct"/>
            <w:tcBorders>
              <w:top w:val="single" w:color="000000" w:sz="4" w:space="0"/>
              <w:left w:val="single" w:color="000000" w:sz="4" w:space="0"/>
              <w:bottom w:val="single" w:color="000000" w:sz="4" w:space="0"/>
              <w:right w:val="single" w:color="000000" w:sz="4" w:space="0"/>
            </w:tcBorders>
            <w:noWrap w:val="0"/>
            <w:vAlign w:val="center"/>
          </w:tcPr>
          <w:p w14:paraId="5753C780">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1449" w:type="pct"/>
            <w:tcBorders>
              <w:top w:val="single" w:color="000000" w:sz="4" w:space="0"/>
              <w:left w:val="single" w:color="000000" w:sz="4" w:space="0"/>
              <w:bottom w:val="single" w:color="000000" w:sz="4" w:space="0"/>
              <w:right w:val="single" w:color="000000" w:sz="4" w:space="0"/>
            </w:tcBorders>
            <w:noWrap w:val="0"/>
            <w:vAlign w:val="center"/>
          </w:tcPr>
          <w:p w14:paraId="2B373A76">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机房设备</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14:paraId="21ED0F2A">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项/月</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14:paraId="10E2E8BF">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sz w:val="24"/>
                <w:szCs w:val="24"/>
                <w:u w:val="none"/>
                <w:lang w:val="en-US" w:eastAsia="zh-CN"/>
              </w:rPr>
              <w:t>12</w:t>
            </w:r>
          </w:p>
        </w:tc>
        <w:tc>
          <w:tcPr>
            <w:tcW w:w="849" w:type="pct"/>
            <w:vMerge w:val="continue"/>
            <w:tcBorders>
              <w:left w:val="single" w:color="000000" w:sz="4" w:space="0"/>
              <w:right w:val="single" w:color="000000" w:sz="4" w:space="0"/>
            </w:tcBorders>
            <w:noWrap w:val="0"/>
            <w:vAlign w:val="center"/>
          </w:tcPr>
          <w:p w14:paraId="3F498643">
            <w:pPr>
              <w:keepNext w:val="0"/>
              <w:keepLines w:val="0"/>
              <w:pageBreakBefore w:val="0"/>
              <w:kinsoku/>
              <w:wordWrap/>
              <w:overflowPunct/>
              <w:topLinePunct w:val="0"/>
              <w:autoSpaceDE/>
              <w:autoSpaceDN/>
              <w:bidi w:val="0"/>
              <w:spacing w:line="360" w:lineRule="auto"/>
              <w:ind w:firstLine="240" w:firstLineChars="100"/>
              <w:jc w:val="center"/>
              <w:rPr>
                <w:rFonts w:hint="default" w:ascii="宋体" w:hAnsi="宋体" w:eastAsia="宋体" w:cs="宋体"/>
                <w:i w:val="0"/>
                <w:iCs w:val="0"/>
                <w:color w:val="E54C5E"/>
                <w:sz w:val="24"/>
                <w:szCs w:val="24"/>
                <w:u w:val="none"/>
                <w:lang w:val="en-US" w:eastAsia="zh-CN"/>
              </w:rPr>
            </w:pPr>
          </w:p>
        </w:tc>
        <w:tc>
          <w:tcPr>
            <w:tcW w:w="1290" w:type="pct"/>
            <w:vMerge w:val="continue"/>
            <w:tcBorders>
              <w:left w:val="single" w:color="000000" w:sz="4" w:space="0"/>
              <w:right w:val="single" w:color="000000" w:sz="4" w:space="0"/>
            </w:tcBorders>
            <w:noWrap w:val="0"/>
            <w:vAlign w:val="center"/>
          </w:tcPr>
          <w:p w14:paraId="0CBAD398">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i w:val="0"/>
                <w:iCs w:val="0"/>
                <w:color w:val="000000"/>
                <w:sz w:val="24"/>
                <w:szCs w:val="24"/>
                <w:u w:val="none"/>
              </w:rPr>
            </w:pPr>
          </w:p>
        </w:tc>
      </w:tr>
      <w:tr w14:paraId="5F405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420" w:type="pct"/>
            <w:tcBorders>
              <w:top w:val="single" w:color="000000" w:sz="4" w:space="0"/>
              <w:left w:val="single" w:color="000000" w:sz="4" w:space="0"/>
              <w:bottom w:val="single" w:color="000000" w:sz="4" w:space="0"/>
              <w:right w:val="single" w:color="000000" w:sz="4" w:space="0"/>
            </w:tcBorders>
            <w:noWrap w:val="0"/>
            <w:vAlign w:val="center"/>
          </w:tcPr>
          <w:p w14:paraId="01977546">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1449" w:type="pct"/>
            <w:tcBorders>
              <w:top w:val="single" w:color="000000" w:sz="4" w:space="0"/>
              <w:left w:val="single" w:color="000000" w:sz="4" w:space="0"/>
              <w:bottom w:val="single" w:color="000000" w:sz="4" w:space="0"/>
              <w:right w:val="single" w:color="000000" w:sz="4" w:space="0"/>
            </w:tcBorders>
            <w:noWrap w:val="0"/>
            <w:vAlign w:val="center"/>
          </w:tcPr>
          <w:p w14:paraId="1A0435C9">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视频监控系统</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14:paraId="3744EA86">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项/月</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14:paraId="5025E9EE">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sz w:val="24"/>
                <w:szCs w:val="24"/>
                <w:u w:val="none"/>
                <w:lang w:val="en-US" w:eastAsia="zh-CN"/>
              </w:rPr>
              <w:t>12</w:t>
            </w:r>
          </w:p>
        </w:tc>
        <w:tc>
          <w:tcPr>
            <w:tcW w:w="849" w:type="pct"/>
            <w:vMerge w:val="continue"/>
            <w:tcBorders>
              <w:left w:val="single" w:color="000000" w:sz="4" w:space="0"/>
              <w:right w:val="single" w:color="000000" w:sz="4" w:space="0"/>
            </w:tcBorders>
            <w:noWrap w:val="0"/>
            <w:vAlign w:val="center"/>
          </w:tcPr>
          <w:p w14:paraId="0B73B522">
            <w:pPr>
              <w:keepNext w:val="0"/>
              <w:keepLines w:val="0"/>
              <w:pageBreakBefore w:val="0"/>
              <w:kinsoku/>
              <w:wordWrap/>
              <w:overflowPunct/>
              <w:topLinePunct w:val="0"/>
              <w:autoSpaceDE/>
              <w:autoSpaceDN/>
              <w:bidi w:val="0"/>
              <w:spacing w:line="360" w:lineRule="auto"/>
              <w:ind w:firstLine="240" w:firstLineChars="100"/>
              <w:jc w:val="center"/>
              <w:rPr>
                <w:rFonts w:hint="default" w:ascii="宋体" w:hAnsi="宋体" w:eastAsia="宋体" w:cs="宋体"/>
                <w:i w:val="0"/>
                <w:iCs w:val="0"/>
                <w:color w:val="E54C5E"/>
                <w:sz w:val="24"/>
                <w:szCs w:val="24"/>
                <w:u w:val="none"/>
                <w:lang w:val="en-US" w:eastAsia="zh-CN"/>
              </w:rPr>
            </w:pPr>
          </w:p>
        </w:tc>
        <w:tc>
          <w:tcPr>
            <w:tcW w:w="1290" w:type="pct"/>
            <w:vMerge w:val="continue"/>
            <w:tcBorders>
              <w:left w:val="single" w:color="000000" w:sz="4" w:space="0"/>
              <w:right w:val="single" w:color="000000" w:sz="4" w:space="0"/>
            </w:tcBorders>
            <w:noWrap w:val="0"/>
            <w:vAlign w:val="center"/>
          </w:tcPr>
          <w:p w14:paraId="629AB0EF">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i w:val="0"/>
                <w:iCs w:val="0"/>
                <w:color w:val="000000"/>
                <w:sz w:val="24"/>
                <w:szCs w:val="24"/>
                <w:u w:val="none"/>
              </w:rPr>
            </w:pPr>
          </w:p>
        </w:tc>
      </w:tr>
      <w:tr w14:paraId="1D434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420" w:type="pct"/>
            <w:tcBorders>
              <w:top w:val="single" w:color="000000" w:sz="4" w:space="0"/>
              <w:left w:val="single" w:color="000000" w:sz="4" w:space="0"/>
              <w:bottom w:val="single" w:color="000000" w:sz="4" w:space="0"/>
              <w:right w:val="single" w:color="000000" w:sz="4" w:space="0"/>
            </w:tcBorders>
            <w:noWrap w:val="0"/>
            <w:vAlign w:val="center"/>
          </w:tcPr>
          <w:p w14:paraId="077DFA54">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1449" w:type="pct"/>
            <w:tcBorders>
              <w:top w:val="single" w:color="000000" w:sz="4" w:space="0"/>
              <w:left w:val="single" w:color="000000" w:sz="4" w:space="0"/>
              <w:bottom w:val="single" w:color="000000" w:sz="4" w:space="0"/>
              <w:right w:val="single" w:color="000000" w:sz="4" w:space="0"/>
            </w:tcBorders>
            <w:noWrap w:val="0"/>
            <w:vAlign w:val="center"/>
          </w:tcPr>
          <w:p w14:paraId="3DE5E63B">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门禁考勤系统</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14:paraId="7600372F">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项/月</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14:paraId="33A1893C">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sz w:val="24"/>
                <w:szCs w:val="24"/>
                <w:u w:val="none"/>
                <w:lang w:val="en-US" w:eastAsia="zh-CN"/>
              </w:rPr>
              <w:t>12</w:t>
            </w:r>
          </w:p>
        </w:tc>
        <w:tc>
          <w:tcPr>
            <w:tcW w:w="849" w:type="pct"/>
            <w:vMerge w:val="continue"/>
            <w:tcBorders>
              <w:left w:val="single" w:color="000000" w:sz="4" w:space="0"/>
              <w:right w:val="single" w:color="000000" w:sz="4" w:space="0"/>
            </w:tcBorders>
            <w:noWrap w:val="0"/>
            <w:vAlign w:val="center"/>
          </w:tcPr>
          <w:p w14:paraId="4CFC4F6D">
            <w:pPr>
              <w:keepNext w:val="0"/>
              <w:keepLines w:val="0"/>
              <w:pageBreakBefore w:val="0"/>
              <w:kinsoku/>
              <w:wordWrap/>
              <w:overflowPunct/>
              <w:topLinePunct w:val="0"/>
              <w:autoSpaceDE/>
              <w:autoSpaceDN/>
              <w:bidi w:val="0"/>
              <w:spacing w:line="360" w:lineRule="auto"/>
              <w:ind w:firstLine="240" w:firstLineChars="100"/>
              <w:jc w:val="center"/>
              <w:rPr>
                <w:rFonts w:hint="default" w:ascii="宋体" w:hAnsi="宋体" w:eastAsia="宋体" w:cs="宋体"/>
                <w:i w:val="0"/>
                <w:iCs w:val="0"/>
                <w:color w:val="E54C5E"/>
                <w:sz w:val="24"/>
                <w:szCs w:val="24"/>
                <w:u w:val="none"/>
                <w:lang w:val="en-US" w:eastAsia="zh-CN"/>
              </w:rPr>
            </w:pPr>
          </w:p>
        </w:tc>
        <w:tc>
          <w:tcPr>
            <w:tcW w:w="1290" w:type="pct"/>
            <w:vMerge w:val="continue"/>
            <w:tcBorders>
              <w:left w:val="single" w:color="000000" w:sz="4" w:space="0"/>
              <w:right w:val="single" w:color="000000" w:sz="4" w:space="0"/>
            </w:tcBorders>
            <w:noWrap w:val="0"/>
            <w:vAlign w:val="center"/>
          </w:tcPr>
          <w:p w14:paraId="2F88434E">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i w:val="0"/>
                <w:iCs w:val="0"/>
                <w:color w:val="000000"/>
                <w:sz w:val="24"/>
                <w:szCs w:val="24"/>
                <w:u w:val="none"/>
              </w:rPr>
            </w:pPr>
          </w:p>
        </w:tc>
      </w:tr>
      <w:tr w14:paraId="37503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420" w:type="pct"/>
            <w:tcBorders>
              <w:top w:val="single" w:color="000000" w:sz="4" w:space="0"/>
              <w:left w:val="single" w:color="000000" w:sz="4" w:space="0"/>
              <w:bottom w:val="single" w:color="000000" w:sz="4" w:space="0"/>
              <w:right w:val="single" w:color="000000" w:sz="4" w:space="0"/>
            </w:tcBorders>
            <w:noWrap w:val="0"/>
            <w:vAlign w:val="center"/>
          </w:tcPr>
          <w:p w14:paraId="2C51B2F8">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w:t>
            </w:r>
          </w:p>
        </w:tc>
        <w:tc>
          <w:tcPr>
            <w:tcW w:w="1449" w:type="pct"/>
            <w:tcBorders>
              <w:top w:val="single" w:color="000000" w:sz="4" w:space="0"/>
              <w:left w:val="single" w:color="000000" w:sz="4" w:space="0"/>
              <w:bottom w:val="single" w:color="000000" w:sz="4" w:space="0"/>
              <w:right w:val="single" w:color="000000" w:sz="4" w:space="0"/>
            </w:tcBorders>
            <w:noWrap w:val="0"/>
            <w:vAlign w:val="center"/>
          </w:tcPr>
          <w:p w14:paraId="3B3C04D5">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背景音乐系统</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14:paraId="5AE0F290">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项/月</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14:paraId="04F62AC7">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sz w:val="24"/>
                <w:szCs w:val="24"/>
                <w:u w:val="none"/>
                <w:lang w:val="en-US" w:eastAsia="zh-CN"/>
              </w:rPr>
              <w:t>12</w:t>
            </w:r>
          </w:p>
        </w:tc>
        <w:tc>
          <w:tcPr>
            <w:tcW w:w="849" w:type="pct"/>
            <w:vMerge w:val="continue"/>
            <w:tcBorders>
              <w:left w:val="single" w:color="000000" w:sz="4" w:space="0"/>
              <w:right w:val="single" w:color="000000" w:sz="4" w:space="0"/>
            </w:tcBorders>
            <w:noWrap w:val="0"/>
            <w:vAlign w:val="center"/>
          </w:tcPr>
          <w:p w14:paraId="106C39EF">
            <w:pPr>
              <w:keepNext w:val="0"/>
              <w:keepLines w:val="0"/>
              <w:pageBreakBefore w:val="0"/>
              <w:kinsoku/>
              <w:wordWrap/>
              <w:overflowPunct/>
              <w:topLinePunct w:val="0"/>
              <w:autoSpaceDE/>
              <w:autoSpaceDN/>
              <w:bidi w:val="0"/>
              <w:spacing w:line="360" w:lineRule="auto"/>
              <w:ind w:firstLine="240" w:firstLineChars="100"/>
              <w:jc w:val="center"/>
              <w:rPr>
                <w:rFonts w:hint="default" w:ascii="宋体" w:hAnsi="宋体" w:eastAsia="宋体" w:cs="宋体"/>
                <w:i w:val="0"/>
                <w:iCs w:val="0"/>
                <w:color w:val="E54C5E"/>
                <w:sz w:val="24"/>
                <w:szCs w:val="24"/>
                <w:u w:val="none"/>
                <w:lang w:val="en-US" w:eastAsia="zh-CN"/>
              </w:rPr>
            </w:pPr>
          </w:p>
        </w:tc>
        <w:tc>
          <w:tcPr>
            <w:tcW w:w="1290" w:type="pct"/>
            <w:vMerge w:val="continue"/>
            <w:tcBorders>
              <w:left w:val="single" w:color="000000" w:sz="4" w:space="0"/>
              <w:right w:val="single" w:color="000000" w:sz="4" w:space="0"/>
            </w:tcBorders>
            <w:noWrap w:val="0"/>
            <w:vAlign w:val="center"/>
          </w:tcPr>
          <w:p w14:paraId="5E569530">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i w:val="0"/>
                <w:iCs w:val="0"/>
                <w:color w:val="000000"/>
                <w:sz w:val="24"/>
                <w:szCs w:val="24"/>
                <w:u w:val="none"/>
              </w:rPr>
            </w:pPr>
          </w:p>
        </w:tc>
      </w:tr>
      <w:tr w14:paraId="12A0C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420" w:type="pct"/>
            <w:tcBorders>
              <w:top w:val="single" w:color="000000" w:sz="4" w:space="0"/>
              <w:left w:val="single" w:color="000000" w:sz="4" w:space="0"/>
              <w:bottom w:val="single" w:color="000000" w:sz="4" w:space="0"/>
              <w:right w:val="single" w:color="000000" w:sz="4" w:space="0"/>
            </w:tcBorders>
            <w:noWrap w:val="0"/>
            <w:vAlign w:val="center"/>
          </w:tcPr>
          <w:p w14:paraId="443F0A65">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p>
        </w:tc>
        <w:tc>
          <w:tcPr>
            <w:tcW w:w="1449" w:type="pct"/>
            <w:tcBorders>
              <w:top w:val="single" w:color="000000" w:sz="4" w:space="0"/>
              <w:left w:val="single" w:color="000000" w:sz="4" w:space="0"/>
              <w:bottom w:val="single" w:color="000000" w:sz="4" w:space="0"/>
              <w:right w:val="single" w:color="000000" w:sz="4" w:space="0"/>
            </w:tcBorders>
            <w:noWrap w:val="0"/>
            <w:vAlign w:val="center"/>
          </w:tcPr>
          <w:p w14:paraId="5387CA09">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信息发布系统</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14:paraId="129C8497">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项/月</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14:paraId="7B8C328B">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sz w:val="24"/>
                <w:szCs w:val="24"/>
                <w:u w:val="none"/>
                <w:lang w:val="en-US" w:eastAsia="zh-CN"/>
              </w:rPr>
              <w:t>12</w:t>
            </w:r>
          </w:p>
        </w:tc>
        <w:tc>
          <w:tcPr>
            <w:tcW w:w="849" w:type="pct"/>
            <w:vMerge w:val="continue"/>
            <w:tcBorders>
              <w:left w:val="single" w:color="000000" w:sz="4" w:space="0"/>
              <w:right w:val="single" w:color="000000" w:sz="4" w:space="0"/>
            </w:tcBorders>
            <w:noWrap w:val="0"/>
            <w:vAlign w:val="center"/>
          </w:tcPr>
          <w:p w14:paraId="19C5CD7B">
            <w:pPr>
              <w:keepNext w:val="0"/>
              <w:keepLines w:val="0"/>
              <w:pageBreakBefore w:val="0"/>
              <w:kinsoku/>
              <w:wordWrap/>
              <w:overflowPunct/>
              <w:topLinePunct w:val="0"/>
              <w:autoSpaceDE/>
              <w:autoSpaceDN/>
              <w:bidi w:val="0"/>
              <w:spacing w:line="360" w:lineRule="auto"/>
              <w:ind w:firstLine="240" w:firstLineChars="100"/>
              <w:jc w:val="center"/>
              <w:rPr>
                <w:rFonts w:hint="default" w:ascii="宋体" w:hAnsi="宋体" w:eastAsia="宋体" w:cs="宋体"/>
                <w:i w:val="0"/>
                <w:iCs w:val="0"/>
                <w:color w:val="E54C5E"/>
                <w:sz w:val="24"/>
                <w:szCs w:val="24"/>
                <w:u w:val="none"/>
                <w:lang w:val="en-US" w:eastAsia="zh-CN"/>
              </w:rPr>
            </w:pPr>
          </w:p>
        </w:tc>
        <w:tc>
          <w:tcPr>
            <w:tcW w:w="1290" w:type="pct"/>
            <w:vMerge w:val="continue"/>
            <w:tcBorders>
              <w:left w:val="single" w:color="000000" w:sz="4" w:space="0"/>
              <w:right w:val="single" w:color="000000" w:sz="4" w:space="0"/>
            </w:tcBorders>
            <w:noWrap w:val="0"/>
            <w:vAlign w:val="center"/>
          </w:tcPr>
          <w:p w14:paraId="57AD9AD0">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i w:val="0"/>
                <w:iCs w:val="0"/>
                <w:color w:val="000000"/>
                <w:sz w:val="24"/>
                <w:szCs w:val="24"/>
                <w:u w:val="none"/>
              </w:rPr>
            </w:pPr>
          </w:p>
        </w:tc>
      </w:tr>
      <w:tr w14:paraId="4BA41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420" w:type="pct"/>
            <w:tcBorders>
              <w:top w:val="single" w:color="000000" w:sz="4" w:space="0"/>
              <w:left w:val="single" w:color="000000" w:sz="4" w:space="0"/>
              <w:bottom w:val="single" w:color="000000" w:sz="4" w:space="0"/>
              <w:right w:val="single" w:color="000000" w:sz="4" w:space="0"/>
            </w:tcBorders>
            <w:noWrap w:val="0"/>
            <w:vAlign w:val="center"/>
          </w:tcPr>
          <w:p w14:paraId="0213BA38">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p>
        </w:tc>
        <w:tc>
          <w:tcPr>
            <w:tcW w:w="1449" w:type="pct"/>
            <w:tcBorders>
              <w:top w:val="single" w:color="000000" w:sz="4" w:space="0"/>
              <w:left w:val="single" w:color="000000" w:sz="4" w:space="0"/>
              <w:bottom w:val="single" w:color="000000" w:sz="4" w:space="0"/>
              <w:right w:val="single" w:color="000000" w:sz="4" w:space="0"/>
            </w:tcBorders>
            <w:noWrap w:val="0"/>
            <w:vAlign w:val="center"/>
          </w:tcPr>
          <w:p w14:paraId="132D460D">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远程议系统</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14:paraId="16BF9A29">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项/月</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14:paraId="01D7EF98">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sz w:val="24"/>
                <w:szCs w:val="24"/>
                <w:u w:val="none"/>
                <w:lang w:val="en-US" w:eastAsia="zh-CN"/>
              </w:rPr>
              <w:t>12</w:t>
            </w:r>
          </w:p>
        </w:tc>
        <w:tc>
          <w:tcPr>
            <w:tcW w:w="849" w:type="pct"/>
            <w:vMerge w:val="continue"/>
            <w:tcBorders>
              <w:left w:val="single" w:color="000000" w:sz="4" w:space="0"/>
              <w:right w:val="single" w:color="000000" w:sz="4" w:space="0"/>
            </w:tcBorders>
            <w:noWrap w:val="0"/>
            <w:vAlign w:val="center"/>
          </w:tcPr>
          <w:p w14:paraId="6092B11E">
            <w:pPr>
              <w:keepNext w:val="0"/>
              <w:keepLines w:val="0"/>
              <w:pageBreakBefore w:val="0"/>
              <w:kinsoku/>
              <w:wordWrap/>
              <w:overflowPunct/>
              <w:topLinePunct w:val="0"/>
              <w:autoSpaceDE/>
              <w:autoSpaceDN/>
              <w:bidi w:val="0"/>
              <w:spacing w:line="360" w:lineRule="auto"/>
              <w:ind w:firstLine="240" w:firstLineChars="100"/>
              <w:jc w:val="center"/>
              <w:rPr>
                <w:rFonts w:hint="default" w:ascii="宋体" w:hAnsi="宋体" w:eastAsia="宋体" w:cs="宋体"/>
                <w:i w:val="0"/>
                <w:iCs w:val="0"/>
                <w:color w:val="E54C5E"/>
                <w:sz w:val="24"/>
                <w:szCs w:val="24"/>
                <w:u w:val="none"/>
                <w:lang w:val="en-US" w:eastAsia="zh-CN"/>
              </w:rPr>
            </w:pPr>
          </w:p>
        </w:tc>
        <w:tc>
          <w:tcPr>
            <w:tcW w:w="1290" w:type="pct"/>
            <w:vMerge w:val="continue"/>
            <w:tcBorders>
              <w:left w:val="single" w:color="000000" w:sz="4" w:space="0"/>
              <w:right w:val="single" w:color="000000" w:sz="4" w:space="0"/>
            </w:tcBorders>
            <w:noWrap w:val="0"/>
            <w:vAlign w:val="center"/>
          </w:tcPr>
          <w:p w14:paraId="0132CB39">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i w:val="0"/>
                <w:iCs w:val="0"/>
                <w:color w:val="000000"/>
                <w:sz w:val="24"/>
                <w:szCs w:val="24"/>
                <w:u w:val="none"/>
              </w:rPr>
            </w:pPr>
          </w:p>
        </w:tc>
      </w:tr>
      <w:tr w14:paraId="2D41B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420" w:type="pct"/>
            <w:tcBorders>
              <w:top w:val="single" w:color="000000" w:sz="4" w:space="0"/>
              <w:left w:val="single" w:color="000000" w:sz="4" w:space="0"/>
              <w:bottom w:val="single" w:color="000000" w:sz="4" w:space="0"/>
              <w:right w:val="single" w:color="000000" w:sz="4" w:space="0"/>
            </w:tcBorders>
            <w:noWrap w:val="0"/>
            <w:vAlign w:val="center"/>
          </w:tcPr>
          <w:p w14:paraId="2653AE1C">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w:t>
            </w:r>
          </w:p>
        </w:tc>
        <w:tc>
          <w:tcPr>
            <w:tcW w:w="1449" w:type="pct"/>
            <w:tcBorders>
              <w:top w:val="single" w:color="000000" w:sz="4" w:space="0"/>
              <w:left w:val="single" w:color="000000" w:sz="4" w:space="0"/>
              <w:bottom w:val="single" w:color="000000" w:sz="4" w:space="0"/>
              <w:right w:val="single" w:color="000000" w:sz="4" w:space="0"/>
            </w:tcBorders>
            <w:noWrap w:val="0"/>
            <w:vAlign w:val="center"/>
          </w:tcPr>
          <w:p w14:paraId="53C28C70">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巡更系统</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14:paraId="713A1CDC">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项/月</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14:paraId="5CC68ADE">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sz w:val="24"/>
                <w:szCs w:val="24"/>
                <w:u w:val="none"/>
                <w:lang w:val="en-US" w:eastAsia="zh-CN"/>
              </w:rPr>
              <w:t>12</w:t>
            </w:r>
          </w:p>
        </w:tc>
        <w:tc>
          <w:tcPr>
            <w:tcW w:w="849" w:type="pct"/>
            <w:vMerge w:val="continue"/>
            <w:tcBorders>
              <w:left w:val="single" w:color="000000" w:sz="4" w:space="0"/>
              <w:right w:val="single" w:color="000000" w:sz="4" w:space="0"/>
            </w:tcBorders>
            <w:noWrap w:val="0"/>
            <w:vAlign w:val="center"/>
          </w:tcPr>
          <w:p w14:paraId="52B668ED">
            <w:pPr>
              <w:keepNext w:val="0"/>
              <w:keepLines w:val="0"/>
              <w:pageBreakBefore w:val="0"/>
              <w:kinsoku/>
              <w:wordWrap/>
              <w:overflowPunct/>
              <w:topLinePunct w:val="0"/>
              <w:autoSpaceDE/>
              <w:autoSpaceDN/>
              <w:bidi w:val="0"/>
              <w:spacing w:line="360" w:lineRule="auto"/>
              <w:ind w:firstLine="240" w:firstLineChars="100"/>
              <w:jc w:val="center"/>
              <w:rPr>
                <w:rFonts w:hint="default" w:ascii="宋体" w:hAnsi="宋体" w:eastAsia="宋体" w:cs="宋体"/>
                <w:i w:val="0"/>
                <w:iCs w:val="0"/>
                <w:color w:val="E54C5E"/>
                <w:sz w:val="24"/>
                <w:szCs w:val="24"/>
                <w:u w:val="none"/>
                <w:lang w:val="en-US" w:eastAsia="zh-CN"/>
              </w:rPr>
            </w:pPr>
          </w:p>
        </w:tc>
        <w:tc>
          <w:tcPr>
            <w:tcW w:w="1290" w:type="pct"/>
            <w:vMerge w:val="continue"/>
            <w:tcBorders>
              <w:left w:val="single" w:color="000000" w:sz="4" w:space="0"/>
              <w:right w:val="single" w:color="000000" w:sz="4" w:space="0"/>
            </w:tcBorders>
            <w:noWrap w:val="0"/>
            <w:vAlign w:val="center"/>
          </w:tcPr>
          <w:p w14:paraId="133856FA">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i w:val="0"/>
                <w:iCs w:val="0"/>
                <w:color w:val="000000"/>
                <w:sz w:val="24"/>
                <w:szCs w:val="24"/>
                <w:u w:val="none"/>
              </w:rPr>
            </w:pPr>
          </w:p>
        </w:tc>
      </w:tr>
      <w:tr w14:paraId="5531D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420" w:type="pct"/>
            <w:tcBorders>
              <w:top w:val="single" w:color="000000" w:sz="4" w:space="0"/>
              <w:left w:val="single" w:color="000000" w:sz="4" w:space="0"/>
              <w:bottom w:val="single" w:color="000000" w:sz="4" w:space="0"/>
              <w:right w:val="single" w:color="000000" w:sz="4" w:space="0"/>
            </w:tcBorders>
            <w:noWrap w:val="0"/>
            <w:vAlign w:val="center"/>
          </w:tcPr>
          <w:p w14:paraId="604BE812">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w:t>
            </w:r>
          </w:p>
        </w:tc>
        <w:tc>
          <w:tcPr>
            <w:tcW w:w="1449" w:type="pct"/>
            <w:tcBorders>
              <w:top w:val="single" w:color="000000" w:sz="4" w:space="0"/>
              <w:left w:val="single" w:color="000000" w:sz="4" w:space="0"/>
              <w:bottom w:val="single" w:color="000000" w:sz="4" w:space="0"/>
              <w:right w:val="single" w:color="000000" w:sz="4" w:space="0"/>
            </w:tcBorders>
            <w:noWrap w:val="0"/>
            <w:vAlign w:val="center"/>
          </w:tcPr>
          <w:p w14:paraId="7A4BC4B6">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大小会议室智能化系统</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14:paraId="2146DADA">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项/月</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14:paraId="5F091E11">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sz w:val="24"/>
                <w:szCs w:val="24"/>
                <w:u w:val="none"/>
                <w:lang w:val="en-US" w:eastAsia="zh-CN"/>
              </w:rPr>
              <w:t>12</w:t>
            </w:r>
          </w:p>
        </w:tc>
        <w:tc>
          <w:tcPr>
            <w:tcW w:w="849" w:type="pct"/>
            <w:vMerge w:val="continue"/>
            <w:tcBorders>
              <w:left w:val="single" w:color="000000" w:sz="4" w:space="0"/>
              <w:right w:val="single" w:color="000000" w:sz="4" w:space="0"/>
            </w:tcBorders>
            <w:noWrap w:val="0"/>
            <w:vAlign w:val="center"/>
          </w:tcPr>
          <w:p w14:paraId="128408D9">
            <w:pPr>
              <w:keepNext w:val="0"/>
              <w:keepLines w:val="0"/>
              <w:pageBreakBefore w:val="0"/>
              <w:kinsoku/>
              <w:wordWrap/>
              <w:overflowPunct/>
              <w:topLinePunct w:val="0"/>
              <w:autoSpaceDE/>
              <w:autoSpaceDN/>
              <w:bidi w:val="0"/>
              <w:spacing w:line="360" w:lineRule="auto"/>
              <w:ind w:firstLine="240" w:firstLineChars="100"/>
              <w:jc w:val="center"/>
              <w:rPr>
                <w:rFonts w:hint="default" w:ascii="宋体" w:hAnsi="宋体" w:eastAsia="宋体" w:cs="宋体"/>
                <w:i w:val="0"/>
                <w:iCs w:val="0"/>
                <w:color w:val="E54C5E"/>
                <w:sz w:val="24"/>
                <w:szCs w:val="24"/>
                <w:u w:val="none"/>
                <w:lang w:val="en-US" w:eastAsia="zh-CN"/>
              </w:rPr>
            </w:pPr>
          </w:p>
        </w:tc>
        <w:tc>
          <w:tcPr>
            <w:tcW w:w="1290" w:type="pct"/>
            <w:vMerge w:val="continue"/>
            <w:tcBorders>
              <w:left w:val="single" w:color="000000" w:sz="4" w:space="0"/>
              <w:right w:val="single" w:color="000000" w:sz="4" w:space="0"/>
            </w:tcBorders>
            <w:noWrap w:val="0"/>
            <w:vAlign w:val="center"/>
          </w:tcPr>
          <w:p w14:paraId="55E7B104">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i w:val="0"/>
                <w:iCs w:val="0"/>
                <w:color w:val="000000"/>
                <w:sz w:val="24"/>
                <w:szCs w:val="24"/>
                <w:u w:val="none"/>
              </w:rPr>
            </w:pPr>
          </w:p>
        </w:tc>
      </w:tr>
      <w:tr w14:paraId="1E161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420" w:type="pct"/>
            <w:tcBorders>
              <w:top w:val="single" w:color="000000" w:sz="4" w:space="0"/>
              <w:left w:val="single" w:color="000000" w:sz="4" w:space="0"/>
              <w:bottom w:val="single" w:color="000000" w:sz="4" w:space="0"/>
              <w:right w:val="single" w:color="000000" w:sz="4" w:space="0"/>
            </w:tcBorders>
            <w:noWrap w:val="0"/>
            <w:vAlign w:val="center"/>
          </w:tcPr>
          <w:p w14:paraId="7B635513">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w:t>
            </w:r>
          </w:p>
        </w:tc>
        <w:tc>
          <w:tcPr>
            <w:tcW w:w="1449" w:type="pct"/>
            <w:tcBorders>
              <w:top w:val="single" w:color="000000" w:sz="4" w:space="0"/>
              <w:left w:val="single" w:color="000000" w:sz="4" w:space="0"/>
              <w:bottom w:val="single" w:color="000000" w:sz="4" w:space="0"/>
              <w:right w:val="single" w:color="000000" w:sz="4" w:space="0"/>
            </w:tcBorders>
            <w:noWrap w:val="0"/>
            <w:vAlign w:val="center"/>
          </w:tcPr>
          <w:p w14:paraId="5768A5DB">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展厅智能化系统</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14:paraId="0C3EC545">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项/月</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14:paraId="126E65C8">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sz w:val="24"/>
                <w:szCs w:val="24"/>
                <w:u w:val="none"/>
                <w:lang w:val="en-US" w:eastAsia="zh-CN"/>
              </w:rPr>
              <w:t>12</w:t>
            </w:r>
          </w:p>
        </w:tc>
        <w:tc>
          <w:tcPr>
            <w:tcW w:w="849" w:type="pct"/>
            <w:vMerge w:val="continue"/>
            <w:tcBorders>
              <w:left w:val="single" w:color="000000" w:sz="4" w:space="0"/>
              <w:right w:val="single" w:color="000000" w:sz="4" w:space="0"/>
            </w:tcBorders>
            <w:noWrap w:val="0"/>
            <w:vAlign w:val="center"/>
          </w:tcPr>
          <w:p w14:paraId="7D8B97F8">
            <w:pPr>
              <w:keepNext w:val="0"/>
              <w:keepLines w:val="0"/>
              <w:pageBreakBefore w:val="0"/>
              <w:kinsoku/>
              <w:wordWrap/>
              <w:overflowPunct/>
              <w:topLinePunct w:val="0"/>
              <w:autoSpaceDE/>
              <w:autoSpaceDN/>
              <w:bidi w:val="0"/>
              <w:spacing w:line="360" w:lineRule="auto"/>
              <w:ind w:firstLine="240" w:firstLineChars="100"/>
              <w:jc w:val="center"/>
              <w:rPr>
                <w:rFonts w:hint="default" w:ascii="宋体" w:hAnsi="宋体" w:eastAsia="宋体" w:cs="宋体"/>
                <w:i w:val="0"/>
                <w:iCs w:val="0"/>
                <w:color w:val="E54C5E"/>
                <w:sz w:val="24"/>
                <w:szCs w:val="24"/>
                <w:u w:val="none"/>
                <w:lang w:val="en-US" w:eastAsia="zh-CN"/>
              </w:rPr>
            </w:pPr>
          </w:p>
        </w:tc>
        <w:tc>
          <w:tcPr>
            <w:tcW w:w="1290" w:type="pct"/>
            <w:vMerge w:val="continue"/>
            <w:tcBorders>
              <w:left w:val="single" w:color="000000" w:sz="4" w:space="0"/>
              <w:right w:val="single" w:color="000000" w:sz="4" w:space="0"/>
            </w:tcBorders>
            <w:noWrap w:val="0"/>
            <w:vAlign w:val="center"/>
          </w:tcPr>
          <w:p w14:paraId="51978EEC">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i w:val="0"/>
                <w:iCs w:val="0"/>
                <w:color w:val="000000"/>
                <w:sz w:val="24"/>
                <w:szCs w:val="24"/>
                <w:u w:val="none"/>
              </w:rPr>
            </w:pPr>
          </w:p>
        </w:tc>
      </w:tr>
      <w:tr w14:paraId="0311C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420" w:type="pct"/>
            <w:tcBorders>
              <w:top w:val="single" w:color="000000" w:sz="4" w:space="0"/>
              <w:left w:val="single" w:color="000000" w:sz="4" w:space="0"/>
              <w:bottom w:val="single" w:color="000000" w:sz="4" w:space="0"/>
              <w:right w:val="single" w:color="000000" w:sz="4" w:space="0"/>
            </w:tcBorders>
            <w:noWrap w:val="0"/>
            <w:vAlign w:val="center"/>
          </w:tcPr>
          <w:p w14:paraId="09093F6E">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w:t>
            </w:r>
          </w:p>
        </w:tc>
        <w:tc>
          <w:tcPr>
            <w:tcW w:w="1449" w:type="pct"/>
            <w:tcBorders>
              <w:top w:val="single" w:color="000000" w:sz="4" w:space="0"/>
              <w:left w:val="single" w:color="000000" w:sz="4" w:space="0"/>
              <w:bottom w:val="single" w:color="000000" w:sz="4" w:space="0"/>
              <w:right w:val="single" w:color="000000" w:sz="4" w:space="0"/>
            </w:tcBorders>
            <w:noWrap w:val="0"/>
            <w:vAlign w:val="center"/>
          </w:tcPr>
          <w:p w14:paraId="05D4DE67">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多功能报告厅多媒体系统</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14:paraId="342D44D9">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项/月</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14:paraId="3D2CBF6A">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sz w:val="24"/>
                <w:szCs w:val="24"/>
                <w:u w:val="none"/>
                <w:lang w:val="en-US" w:eastAsia="zh-CN"/>
              </w:rPr>
              <w:t>12</w:t>
            </w:r>
          </w:p>
        </w:tc>
        <w:tc>
          <w:tcPr>
            <w:tcW w:w="849" w:type="pct"/>
            <w:vMerge w:val="continue"/>
            <w:tcBorders>
              <w:left w:val="single" w:color="000000" w:sz="4" w:space="0"/>
              <w:right w:val="single" w:color="000000" w:sz="4" w:space="0"/>
            </w:tcBorders>
            <w:noWrap w:val="0"/>
            <w:vAlign w:val="center"/>
          </w:tcPr>
          <w:p w14:paraId="4ABECF95">
            <w:pPr>
              <w:keepNext w:val="0"/>
              <w:keepLines w:val="0"/>
              <w:pageBreakBefore w:val="0"/>
              <w:kinsoku/>
              <w:wordWrap/>
              <w:overflowPunct/>
              <w:topLinePunct w:val="0"/>
              <w:autoSpaceDE/>
              <w:autoSpaceDN/>
              <w:bidi w:val="0"/>
              <w:spacing w:line="360" w:lineRule="auto"/>
              <w:ind w:firstLine="240" w:firstLineChars="100"/>
              <w:jc w:val="center"/>
              <w:rPr>
                <w:rFonts w:hint="default" w:ascii="宋体" w:hAnsi="宋体" w:eastAsia="宋体" w:cs="宋体"/>
                <w:i w:val="0"/>
                <w:iCs w:val="0"/>
                <w:color w:val="E54C5E"/>
                <w:sz w:val="24"/>
                <w:szCs w:val="24"/>
                <w:u w:val="none"/>
                <w:lang w:val="en-US" w:eastAsia="zh-CN"/>
              </w:rPr>
            </w:pPr>
          </w:p>
        </w:tc>
        <w:tc>
          <w:tcPr>
            <w:tcW w:w="1290" w:type="pct"/>
            <w:vMerge w:val="continue"/>
            <w:tcBorders>
              <w:left w:val="single" w:color="000000" w:sz="4" w:space="0"/>
              <w:right w:val="single" w:color="000000" w:sz="4" w:space="0"/>
            </w:tcBorders>
            <w:noWrap w:val="0"/>
            <w:vAlign w:val="center"/>
          </w:tcPr>
          <w:p w14:paraId="687DB353">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i w:val="0"/>
                <w:iCs w:val="0"/>
                <w:color w:val="000000"/>
                <w:sz w:val="24"/>
                <w:szCs w:val="24"/>
                <w:u w:val="none"/>
              </w:rPr>
            </w:pPr>
          </w:p>
        </w:tc>
      </w:tr>
      <w:tr w14:paraId="30DF0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420" w:type="pct"/>
            <w:tcBorders>
              <w:top w:val="single" w:color="000000" w:sz="4" w:space="0"/>
              <w:left w:val="single" w:color="000000" w:sz="4" w:space="0"/>
              <w:bottom w:val="single" w:color="000000" w:sz="4" w:space="0"/>
              <w:right w:val="single" w:color="000000" w:sz="4" w:space="0"/>
            </w:tcBorders>
            <w:noWrap w:val="0"/>
            <w:vAlign w:val="center"/>
          </w:tcPr>
          <w:p w14:paraId="561FFD3F">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w:t>
            </w:r>
          </w:p>
        </w:tc>
        <w:tc>
          <w:tcPr>
            <w:tcW w:w="1449" w:type="pct"/>
            <w:tcBorders>
              <w:top w:val="single" w:color="000000" w:sz="4" w:space="0"/>
              <w:left w:val="single" w:color="000000" w:sz="4" w:space="0"/>
              <w:bottom w:val="single" w:color="000000" w:sz="4" w:space="0"/>
              <w:right w:val="single" w:color="000000" w:sz="4" w:space="0"/>
            </w:tcBorders>
            <w:noWrap w:val="0"/>
            <w:vAlign w:val="center"/>
          </w:tcPr>
          <w:p w14:paraId="33C2F75E">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食堂消费系统</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14:paraId="5E407B4A">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项/月</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14:paraId="0CB79D63">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sz w:val="24"/>
                <w:szCs w:val="24"/>
                <w:u w:val="none"/>
                <w:lang w:val="en-US" w:eastAsia="zh-CN"/>
              </w:rPr>
              <w:t>12</w:t>
            </w:r>
          </w:p>
        </w:tc>
        <w:tc>
          <w:tcPr>
            <w:tcW w:w="849" w:type="pct"/>
            <w:vMerge w:val="continue"/>
            <w:tcBorders>
              <w:left w:val="single" w:color="000000" w:sz="4" w:space="0"/>
              <w:right w:val="single" w:color="000000" w:sz="4" w:space="0"/>
            </w:tcBorders>
            <w:noWrap w:val="0"/>
            <w:vAlign w:val="center"/>
          </w:tcPr>
          <w:p w14:paraId="14A54A7D">
            <w:pPr>
              <w:keepNext w:val="0"/>
              <w:keepLines w:val="0"/>
              <w:pageBreakBefore w:val="0"/>
              <w:kinsoku/>
              <w:wordWrap/>
              <w:overflowPunct/>
              <w:topLinePunct w:val="0"/>
              <w:autoSpaceDE/>
              <w:autoSpaceDN/>
              <w:bidi w:val="0"/>
              <w:spacing w:line="360" w:lineRule="auto"/>
              <w:ind w:firstLine="240" w:firstLineChars="100"/>
              <w:jc w:val="center"/>
              <w:rPr>
                <w:rFonts w:hint="default" w:ascii="宋体" w:hAnsi="宋体" w:eastAsia="宋体" w:cs="宋体"/>
                <w:i w:val="0"/>
                <w:iCs w:val="0"/>
                <w:color w:val="E54C5E"/>
                <w:sz w:val="24"/>
                <w:szCs w:val="24"/>
                <w:u w:val="none"/>
                <w:lang w:val="en-US" w:eastAsia="zh-CN"/>
              </w:rPr>
            </w:pPr>
          </w:p>
        </w:tc>
        <w:tc>
          <w:tcPr>
            <w:tcW w:w="1290" w:type="pct"/>
            <w:vMerge w:val="continue"/>
            <w:tcBorders>
              <w:left w:val="single" w:color="000000" w:sz="4" w:space="0"/>
              <w:right w:val="single" w:color="000000" w:sz="4" w:space="0"/>
            </w:tcBorders>
            <w:noWrap w:val="0"/>
            <w:vAlign w:val="center"/>
          </w:tcPr>
          <w:p w14:paraId="6FC80E1A">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i w:val="0"/>
                <w:iCs w:val="0"/>
                <w:color w:val="000000"/>
                <w:sz w:val="24"/>
                <w:szCs w:val="24"/>
                <w:u w:val="none"/>
              </w:rPr>
            </w:pPr>
          </w:p>
        </w:tc>
      </w:tr>
      <w:tr w14:paraId="7820E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7" w:hRule="atLeast"/>
        </w:trPr>
        <w:tc>
          <w:tcPr>
            <w:tcW w:w="420" w:type="pct"/>
            <w:tcBorders>
              <w:top w:val="single" w:color="000000" w:sz="4" w:space="0"/>
              <w:left w:val="single" w:color="000000" w:sz="4" w:space="0"/>
              <w:bottom w:val="single" w:color="000000" w:sz="4" w:space="0"/>
              <w:right w:val="single" w:color="000000" w:sz="4" w:space="0"/>
            </w:tcBorders>
            <w:noWrap w:val="0"/>
            <w:vAlign w:val="center"/>
          </w:tcPr>
          <w:p w14:paraId="23BE3848">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w:t>
            </w:r>
          </w:p>
        </w:tc>
        <w:tc>
          <w:tcPr>
            <w:tcW w:w="1449" w:type="pct"/>
            <w:tcBorders>
              <w:top w:val="single" w:color="000000" w:sz="4" w:space="0"/>
              <w:left w:val="single" w:color="000000" w:sz="4" w:space="0"/>
              <w:bottom w:val="single" w:color="000000" w:sz="4" w:space="0"/>
              <w:right w:val="single" w:color="000000" w:sz="4" w:space="0"/>
            </w:tcBorders>
            <w:noWrap w:val="0"/>
            <w:vAlign w:val="center"/>
          </w:tcPr>
          <w:p w14:paraId="03B3C4C0">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w:t>
            </w:r>
          </w:p>
        </w:tc>
        <w:tc>
          <w:tcPr>
            <w:tcW w:w="487" w:type="pct"/>
            <w:tcBorders>
              <w:top w:val="single" w:color="000000" w:sz="4" w:space="0"/>
              <w:left w:val="single" w:color="000000" w:sz="4" w:space="0"/>
              <w:bottom w:val="single" w:color="000000" w:sz="4" w:space="0"/>
              <w:right w:val="single" w:color="000000" w:sz="4" w:space="0"/>
            </w:tcBorders>
            <w:noWrap w:val="0"/>
            <w:vAlign w:val="center"/>
          </w:tcPr>
          <w:p w14:paraId="5ADC6E71">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项/月</w:t>
            </w:r>
          </w:p>
        </w:tc>
        <w:tc>
          <w:tcPr>
            <w:tcW w:w="503" w:type="pct"/>
            <w:tcBorders>
              <w:top w:val="single" w:color="000000" w:sz="4" w:space="0"/>
              <w:left w:val="single" w:color="000000" w:sz="4" w:space="0"/>
              <w:bottom w:val="single" w:color="000000" w:sz="4" w:space="0"/>
              <w:right w:val="single" w:color="000000" w:sz="4" w:space="0"/>
            </w:tcBorders>
            <w:noWrap w:val="0"/>
            <w:vAlign w:val="center"/>
          </w:tcPr>
          <w:p w14:paraId="0496851E">
            <w:pPr>
              <w:keepNext w:val="0"/>
              <w:keepLines w:val="0"/>
              <w:pageBreakBefore w:val="0"/>
              <w:widowControl/>
              <w:suppressLineNumbers w:val="0"/>
              <w:kinsoku/>
              <w:wordWrap/>
              <w:overflowPunct/>
              <w:topLinePunct w:val="0"/>
              <w:autoSpaceDE/>
              <w:autoSpaceDN/>
              <w:bidi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sz w:val="24"/>
                <w:szCs w:val="24"/>
                <w:highlight w:val="none"/>
                <w:u w:val="none"/>
                <w:lang w:val="en-US" w:eastAsia="zh-CN"/>
              </w:rPr>
              <w:t>12</w:t>
            </w:r>
          </w:p>
        </w:tc>
        <w:tc>
          <w:tcPr>
            <w:tcW w:w="849" w:type="pct"/>
            <w:vMerge w:val="continue"/>
            <w:tcBorders>
              <w:left w:val="single" w:color="000000" w:sz="4" w:space="0"/>
              <w:bottom w:val="single" w:color="000000" w:sz="4" w:space="0"/>
              <w:right w:val="single" w:color="000000" w:sz="4" w:space="0"/>
            </w:tcBorders>
            <w:noWrap w:val="0"/>
            <w:vAlign w:val="center"/>
          </w:tcPr>
          <w:p w14:paraId="3ED8DB56">
            <w:pPr>
              <w:keepNext w:val="0"/>
              <w:keepLines w:val="0"/>
              <w:pageBreakBefore w:val="0"/>
              <w:kinsoku/>
              <w:wordWrap/>
              <w:overflowPunct/>
              <w:topLinePunct w:val="0"/>
              <w:autoSpaceDE/>
              <w:autoSpaceDN/>
              <w:bidi w:val="0"/>
              <w:spacing w:line="360" w:lineRule="auto"/>
              <w:ind w:firstLine="240" w:firstLineChars="100"/>
              <w:jc w:val="center"/>
              <w:rPr>
                <w:rFonts w:hint="default" w:ascii="宋体" w:hAnsi="宋体" w:eastAsia="宋体" w:cs="宋体"/>
                <w:i w:val="0"/>
                <w:iCs w:val="0"/>
                <w:color w:val="E54C5E"/>
                <w:sz w:val="24"/>
                <w:szCs w:val="24"/>
                <w:u w:val="none"/>
                <w:lang w:val="en-US" w:eastAsia="zh-CN"/>
              </w:rPr>
            </w:pPr>
          </w:p>
        </w:tc>
        <w:tc>
          <w:tcPr>
            <w:tcW w:w="1290" w:type="pct"/>
            <w:vMerge w:val="continue"/>
            <w:tcBorders>
              <w:left w:val="single" w:color="000000" w:sz="4" w:space="0"/>
              <w:bottom w:val="single" w:color="000000" w:sz="4" w:space="0"/>
              <w:right w:val="single" w:color="000000" w:sz="4" w:space="0"/>
            </w:tcBorders>
            <w:noWrap w:val="0"/>
            <w:vAlign w:val="center"/>
          </w:tcPr>
          <w:p w14:paraId="45C7B700">
            <w:pPr>
              <w:keepNext w:val="0"/>
              <w:keepLines w:val="0"/>
              <w:pageBreakBefore w:val="0"/>
              <w:kinsoku/>
              <w:wordWrap/>
              <w:overflowPunct/>
              <w:topLinePunct w:val="0"/>
              <w:autoSpaceDE/>
              <w:autoSpaceDN/>
              <w:bidi w:val="0"/>
              <w:spacing w:line="360" w:lineRule="auto"/>
              <w:jc w:val="center"/>
              <w:rPr>
                <w:rFonts w:hint="eastAsia" w:ascii="宋体" w:hAnsi="宋体" w:eastAsia="宋体" w:cs="宋体"/>
                <w:i w:val="0"/>
                <w:iCs w:val="0"/>
                <w:color w:val="000000"/>
                <w:sz w:val="24"/>
                <w:szCs w:val="24"/>
                <w:u w:val="none"/>
              </w:rPr>
            </w:pPr>
          </w:p>
        </w:tc>
      </w:tr>
      <w:bookmarkEnd w:id="56"/>
    </w:tbl>
    <w:p w14:paraId="4544C5AF">
      <w:pPr>
        <w:keepNext w:val="0"/>
        <w:keepLines w:val="0"/>
        <w:pageBreakBefore w:val="0"/>
        <w:kinsoku/>
        <w:wordWrap/>
        <w:overflowPunct/>
        <w:topLinePunct w:val="0"/>
        <w:autoSpaceDE/>
        <w:autoSpaceDN/>
        <w:bidi w:val="0"/>
        <w:adjustRightInd w:val="0"/>
        <w:snapToGrid w:val="0"/>
        <w:spacing w:before="0" w:after="0" w:line="360" w:lineRule="auto"/>
        <w:ind w:firstLine="480" w:firstLineChars="200"/>
        <w:outlineLvl w:val="9"/>
        <w:rPr>
          <w:rFonts w:hint="eastAsia" w:ascii="宋体" w:hAnsi="宋体" w:eastAsia="宋体" w:cs="宋体"/>
          <w:color w:val="auto"/>
          <w:sz w:val="24"/>
          <w:szCs w:val="24"/>
          <w:highlight w:val="none"/>
        </w:rPr>
      </w:pPr>
      <w:bookmarkStart w:id="57" w:name="_Toc11333"/>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rPr>
        <w:t>、现场踏勘</w:t>
      </w:r>
      <w:bookmarkEnd w:id="57"/>
    </w:p>
    <w:p w14:paraId="5665C60A">
      <w:pPr>
        <w:keepNext w:val="0"/>
        <w:keepLines w:val="0"/>
        <w:pageBreakBefore w:val="0"/>
        <w:kinsoku/>
        <w:wordWrap/>
        <w:overflowPunct/>
        <w:topLinePunct w:val="0"/>
        <w:autoSpaceDE/>
        <w:autoSpaceDN/>
        <w:bidi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中选人</w:t>
      </w:r>
      <w:r>
        <w:rPr>
          <w:rFonts w:hint="eastAsia" w:ascii="宋体" w:hAnsi="宋体" w:eastAsia="宋体" w:cs="宋体"/>
          <w:color w:val="auto"/>
          <w:sz w:val="24"/>
          <w:szCs w:val="24"/>
          <w:highlight w:val="none"/>
        </w:rPr>
        <w:t>应在开标前对项目现场及周围环境自行踏勘。无论</w:t>
      </w:r>
      <w:r>
        <w:rPr>
          <w:rFonts w:hint="eastAsia" w:ascii="宋体" w:hAnsi="宋体" w:eastAsia="宋体" w:cs="宋体"/>
          <w:color w:val="auto"/>
          <w:sz w:val="24"/>
          <w:szCs w:val="24"/>
          <w:highlight w:val="none"/>
          <w:lang w:eastAsia="zh-CN"/>
        </w:rPr>
        <w:t>中选人</w:t>
      </w:r>
      <w:r>
        <w:rPr>
          <w:rFonts w:hint="eastAsia" w:ascii="宋体" w:hAnsi="宋体" w:eastAsia="宋体" w:cs="宋体"/>
          <w:color w:val="auto"/>
          <w:sz w:val="24"/>
          <w:szCs w:val="24"/>
          <w:highlight w:val="none"/>
        </w:rPr>
        <w:t>是否踏勘过现场，均被认为在递交响应文件之前已踏勘现场，对本项目的风险和义务已经了解，并在其响应文件中已充分考虑了现场和环境因素，踏勘现场所发生的费用及一切安全责任由</w:t>
      </w:r>
      <w:r>
        <w:rPr>
          <w:rFonts w:hint="eastAsia" w:ascii="宋体" w:hAnsi="宋体" w:eastAsia="宋体" w:cs="宋体"/>
          <w:color w:val="auto"/>
          <w:sz w:val="24"/>
          <w:szCs w:val="24"/>
          <w:highlight w:val="none"/>
          <w:lang w:eastAsia="zh-CN"/>
        </w:rPr>
        <w:t>中选人</w:t>
      </w:r>
      <w:r>
        <w:rPr>
          <w:rFonts w:hint="eastAsia" w:ascii="宋体" w:hAnsi="宋体" w:eastAsia="宋体" w:cs="宋体"/>
          <w:color w:val="auto"/>
          <w:sz w:val="24"/>
          <w:szCs w:val="24"/>
          <w:highlight w:val="none"/>
        </w:rPr>
        <w:t>自行承担。</w:t>
      </w:r>
      <w:bookmarkStart w:id="58" w:name="_Toc22769"/>
      <w:bookmarkStart w:id="59" w:name="_Toc7719"/>
      <w:bookmarkStart w:id="60" w:name="_Toc32011"/>
      <w:bookmarkStart w:id="61" w:name="_Toc14840"/>
      <w:bookmarkStart w:id="62" w:name="_Toc20862"/>
      <w:bookmarkStart w:id="63" w:name="_Toc7345"/>
      <w:bookmarkStart w:id="64" w:name="_Toc106030883"/>
      <w:bookmarkStart w:id="65" w:name="_Toc344475120"/>
      <w:bookmarkStart w:id="66" w:name="_Toc26373"/>
      <w:bookmarkStart w:id="67" w:name="_Toc76462328"/>
      <w:bookmarkStart w:id="68" w:name="_Toc16470"/>
    </w:p>
    <w:bookmarkEnd w:id="58"/>
    <w:bookmarkEnd w:id="59"/>
    <w:bookmarkEnd w:id="60"/>
    <w:p w14:paraId="74A1B70A">
      <w:pPr>
        <w:keepNext w:val="0"/>
        <w:keepLines w:val="0"/>
        <w:pageBreakBefore w:val="0"/>
        <w:kinsoku/>
        <w:wordWrap/>
        <w:overflowPunct/>
        <w:topLinePunct w:val="0"/>
        <w:autoSpaceDE/>
        <w:autoSpaceDN/>
        <w:bidi w:val="0"/>
        <w:adjustRightInd w:val="0"/>
        <w:snapToGrid w:val="0"/>
        <w:spacing w:before="0" w:after="0" w:line="360" w:lineRule="auto"/>
        <w:ind w:firstLine="480" w:firstLineChars="200"/>
        <w:outlineLvl w:val="9"/>
        <w:rPr>
          <w:rFonts w:hint="eastAsia" w:ascii="宋体" w:hAnsi="宋体" w:eastAsia="宋体" w:cs="宋体"/>
          <w:color w:val="auto"/>
          <w:sz w:val="24"/>
          <w:szCs w:val="24"/>
          <w:highlight w:val="none"/>
        </w:rPr>
      </w:pPr>
      <w:bookmarkStart w:id="69" w:name="_Toc17139"/>
      <w:bookmarkStart w:id="70" w:name="_Toc7409"/>
      <w:bookmarkStart w:id="71" w:name="_Toc19051"/>
      <w:bookmarkStart w:id="72" w:name="_Toc24797"/>
      <w:r>
        <w:rPr>
          <w:rFonts w:hint="eastAsia" w:ascii="宋体" w:hAnsi="宋体" w:eastAsia="宋体" w:cs="宋体"/>
          <w:color w:val="auto"/>
          <w:sz w:val="24"/>
          <w:szCs w:val="24"/>
          <w:highlight w:val="none"/>
          <w:lang w:val="en-US" w:eastAsia="zh-CN"/>
        </w:rPr>
        <w:t>七</w:t>
      </w:r>
      <w:r>
        <w:rPr>
          <w:rFonts w:hint="eastAsia" w:ascii="宋体" w:hAnsi="宋体" w:eastAsia="宋体" w:cs="宋体"/>
          <w:color w:val="auto"/>
          <w:sz w:val="24"/>
          <w:szCs w:val="24"/>
          <w:highlight w:val="none"/>
        </w:rPr>
        <w:t>、报价</w:t>
      </w:r>
      <w:bookmarkEnd w:id="69"/>
      <w:bookmarkEnd w:id="70"/>
      <w:bookmarkEnd w:id="71"/>
      <w:r>
        <w:rPr>
          <w:rFonts w:hint="eastAsia" w:ascii="宋体" w:hAnsi="宋体" w:eastAsia="宋体" w:cs="宋体"/>
          <w:color w:val="auto"/>
          <w:sz w:val="24"/>
          <w:szCs w:val="24"/>
          <w:highlight w:val="none"/>
        </w:rPr>
        <w:t>要求</w:t>
      </w:r>
      <w:bookmarkEnd w:id="72"/>
    </w:p>
    <w:p w14:paraId="5C0645C2">
      <w:pPr>
        <w:keepNext w:val="0"/>
        <w:keepLines w:val="0"/>
        <w:pageBreakBefore w:val="0"/>
        <w:widowControl w:val="0"/>
        <w:kinsoku/>
        <w:wordWrap/>
        <w:overflowPunct/>
        <w:topLinePunct w:val="0"/>
        <w:autoSpaceDE/>
        <w:autoSpaceDN/>
        <w:bidi w:val="0"/>
        <w:spacing w:after="0"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本次项目报价为人民币报价，报价包括为提供服务内容及达到服务需求涉及的相关人员工资、交通、食宿、差旅费等为履行本合同所应发生的全部费用。因中选人自身原因造成漏报、少报皆由其自行承担责任，比选人不再补偿。</w:t>
      </w:r>
    </w:p>
    <w:p w14:paraId="406D9A11">
      <w:pPr>
        <w:keepNext w:val="0"/>
        <w:keepLines w:val="0"/>
        <w:pageBreakBefore w:val="0"/>
        <w:kinsoku/>
        <w:wordWrap/>
        <w:overflowPunct/>
        <w:topLinePunct w:val="0"/>
        <w:autoSpaceDE/>
        <w:autoSpaceDN/>
        <w:bidi w:val="0"/>
        <w:adjustRightInd w:val="0"/>
        <w:snapToGrid w:val="0"/>
        <w:spacing w:before="0" w:after="0" w:line="360" w:lineRule="auto"/>
        <w:ind w:firstLine="480" w:firstLineChars="200"/>
        <w:outlineLvl w:val="9"/>
        <w:rPr>
          <w:rFonts w:hint="eastAsia" w:ascii="宋体" w:hAnsi="宋体" w:eastAsia="宋体" w:cs="宋体"/>
          <w:color w:val="auto"/>
          <w:sz w:val="24"/>
          <w:szCs w:val="24"/>
          <w:highlight w:val="none"/>
        </w:rPr>
      </w:pPr>
      <w:bookmarkStart w:id="73" w:name="_Toc493506293"/>
      <w:bookmarkStart w:id="74" w:name="_Toc22386"/>
      <w:bookmarkStart w:id="75" w:name="_Toc267320051"/>
      <w:bookmarkStart w:id="76" w:name="_Toc37766385"/>
      <w:r>
        <w:rPr>
          <w:rFonts w:hint="eastAsia" w:ascii="宋体" w:hAnsi="宋体" w:eastAsia="宋体" w:cs="宋体"/>
          <w:color w:val="auto"/>
          <w:sz w:val="24"/>
          <w:szCs w:val="24"/>
          <w:highlight w:val="none"/>
          <w:lang w:val="en-US" w:eastAsia="zh-CN"/>
        </w:rPr>
        <w:t>八</w:t>
      </w:r>
      <w:r>
        <w:rPr>
          <w:rFonts w:hint="eastAsia" w:ascii="宋体" w:hAnsi="宋体" w:eastAsia="宋体" w:cs="宋体"/>
          <w:color w:val="auto"/>
          <w:sz w:val="24"/>
          <w:szCs w:val="24"/>
          <w:highlight w:val="none"/>
        </w:rPr>
        <w:t>、付款方式</w:t>
      </w:r>
      <w:bookmarkEnd w:id="73"/>
      <w:bookmarkEnd w:id="74"/>
      <w:bookmarkEnd w:id="75"/>
      <w:bookmarkEnd w:id="76"/>
    </w:p>
    <w:p w14:paraId="42EEABA8">
      <w:pPr>
        <w:keepNext w:val="0"/>
        <w:keepLines w:val="0"/>
        <w:pageBreakBefore w:val="0"/>
        <w:widowControl w:val="0"/>
        <w:kinsoku/>
        <w:wordWrap/>
        <w:overflowPunct/>
        <w:topLinePunct w:val="0"/>
        <w:autoSpaceDE/>
        <w:autoSpaceDN/>
        <w:bidi w:val="0"/>
        <w:spacing w:after="0" w:line="360" w:lineRule="auto"/>
        <w:ind w:left="0" w:leftChars="0" w:firstLine="480" w:firstLineChars="200"/>
        <w:jc w:val="both"/>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1.中选人与比选人在服务期限内签订合同，合同期为36个月，比选人在合同期内，分6次向中选人支付服务费用，每半年为1个付款周期。</w:t>
      </w:r>
    </w:p>
    <w:p w14:paraId="57B56FDE">
      <w:pPr>
        <w:keepNext w:val="0"/>
        <w:keepLines w:val="0"/>
        <w:pageBreakBefore w:val="0"/>
        <w:widowControl w:val="0"/>
        <w:kinsoku/>
        <w:wordWrap/>
        <w:overflowPunct/>
        <w:topLinePunct w:val="0"/>
        <w:autoSpaceDE/>
        <w:autoSpaceDN/>
        <w:bidi w:val="0"/>
        <w:spacing w:after="0"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每个付款周期届满后的下一个月中旬（15日）之前，中选人需向比选人提交累计6个月的巡检记录表、发票等有关资料，经比选人审核通过并签字确认后，比选人在该期月底（30日）之前，向中选人付清该期服务费。</w:t>
      </w:r>
    </w:p>
    <w:p w14:paraId="0B9C0712">
      <w:pPr>
        <w:keepNext w:val="0"/>
        <w:keepLines w:val="0"/>
        <w:pageBreakBefore w:val="0"/>
        <w:kinsoku/>
        <w:wordWrap/>
        <w:overflowPunct/>
        <w:topLinePunct w:val="0"/>
        <w:autoSpaceDE/>
        <w:autoSpaceDN/>
        <w:bidi w:val="0"/>
        <w:adjustRightInd w:val="0"/>
        <w:snapToGrid w:val="0"/>
        <w:spacing w:before="0" w:after="0" w:line="360" w:lineRule="auto"/>
        <w:ind w:firstLine="480" w:firstLineChars="200"/>
        <w:outlineLvl w:val="9"/>
        <w:rPr>
          <w:rFonts w:hint="eastAsia" w:ascii="宋体" w:hAnsi="宋体" w:eastAsia="宋体" w:cs="宋体"/>
          <w:color w:val="auto"/>
          <w:sz w:val="24"/>
          <w:szCs w:val="24"/>
          <w:highlight w:val="none"/>
        </w:rPr>
      </w:pPr>
      <w:bookmarkStart w:id="77" w:name="_Toc7629"/>
      <w:bookmarkStart w:id="78" w:name="_Toc4784"/>
      <w:bookmarkStart w:id="79" w:name="_Toc25464"/>
      <w:bookmarkStart w:id="80" w:name="_Toc15548"/>
      <w:bookmarkStart w:id="81" w:name="_Toc18443"/>
      <w:bookmarkStart w:id="82" w:name="_Toc22931"/>
      <w:bookmarkStart w:id="83" w:name="_Toc1026"/>
      <w:bookmarkStart w:id="84" w:name="_Toc75793514"/>
      <w:bookmarkStart w:id="85" w:name="_Toc14096"/>
      <w:bookmarkStart w:id="86" w:name="_Toc26926"/>
      <w:bookmarkStart w:id="87" w:name="_Toc3404"/>
      <w:bookmarkStart w:id="88" w:name="_Toc27637"/>
      <w:bookmarkStart w:id="89" w:name="_Toc267320053"/>
      <w:bookmarkStart w:id="90" w:name="_Toc15159"/>
      <w:bookmarkStart w:id="91" w:name="_Toc29615"/>
      <w:bookmarkStart w:id="92" w:name="_Toc31803"/>
      <w:bookmarkStart w:id="93" w:name="_Toc1949"/>
      <w:bookmarkStart w:id="94" w:name="_Toc15109"/>
      <w:r>
        <w:rPr>
          <w:rFonts w:hint="eastAsia" w:ascii="宋体" w:hAnsi="宋体" w:eastAsia="宋体" w:cs="宋体"/>
          <w:color w:val="auto"/>
          <w:sz w:val="24"/>
          <w:szCs w:val="24"/>
          <w:highlight w:val="none"/>
          <w:lang w:val="en-US" w:eastAsia="zh-CN"/>
        </w:rPr>
        <w:t>九</w:t>
      </w:r>
      <w:r>
        <w:rPr>
          <w:rFonts w:hint="eastAsia" w:ascii="宋体" w:hAnsi="宋体" w:eastAsia="宋体" w:cs="宋体"/>
          <w:color w:val="auto"/>
          <w:sz w:val="24"/>
          <w:szCs w:val="24"/>
          <w:highlight w:val="none"/>
        </w:rPr>
        <w:t>、培训</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7E5B8FF">
      <w:pPr>
        <w:keepNext w:val="0"/>
        <w:keepLines w:val="0"/>
        <w:pageBreakBefore w:val="0"/>
        <w:widowControl w:val="0"/>
        <w:kinsoku/>
        <w:wordWrap/>
        <w:overflowPunct/>
        <w:topLinePunct w:val="0"/>
        <w:autoSpaceDE/>
        <w:autoSpaceDN/>
        <w:bidi w:val="0"/>
        <w:spacing w:after="0"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中选人对其提供产品的使用和操作应尽培训义务。中选人应提供对比选人的基本免费培训，使比选人使用人员能够正常操作。</w:t>
      </w:r>
    </w:p>
    <w:p w14:paraId="4D05DC32">
      <w:pPr>
        <w:keepNext w:val="0"/>
        <w:keepLines w:val="0"/>
        <w:pageBreakBefore w:val="0"/>
        <w:kinsoku/>
        <w:wordWrap/>
        <w:overflowPunct/>
        <w:topLinePunct w:val="0"/>
        <w:autoSpaceDE/>
        <w:autoSpaceDN/>
        <w:bidi w:val="0"/>
        <w:adjustRightInd w:val="0"/>
        <w:snapToGrid w:val="0"/>
        <w:spacing w:before="0" w:after="0" w:line="360" w:lineRule="auto"/>
        <w:ind w:firstLine="480" w:firstLineChars="200"/>
        <w:outlineLvl w:val="9"/>
        <w:rPr>
          <w:rFonts w:hint="eastAsia" w:ascii="宋体" w:hAnsi="宋体" w:eastAsia="宋体" w:cs="宋体"/>
          <w:color w:val="auto"/>
          <w:sz w:val="24"/>
          <w:szCs w:val="24"/>
          <w:highlight w:val="none"/>
        </w:rPr>
      </w:pPr>
      <w:bookmarkStart w:id="95" w:name="_Toc267320054"/>
      <w:bookmarkStart w:id="96" w:name="_Toc28513"/>
      <w:bookmarkStart w:id="97" w:name="_Toc13936"/>
      <w:bookmarkStart w:id="98" w:name="_Toc32308"/>
      <w:bookmarkStart w:id="99" w:name="_Toc14923"/>
      <w:bookmarkStart w:id="100" w:name="_Toc6099"/>
      <w:bookmarkStart w:id="101" w:name="_Toc1138"/>
      <w:bookmarkStart w:id="102" w:name="_Toc4353"/>
      <w:bookmarkStart w:id="103" w:name="_Toc6385"/>
      <w:bookmarkStart w:id="104" w:name="_Toc17569"/>
      <w:bookmarkStart w:id="105" w:name="_Toc27175"/>
      <w:bookmarkStart w:id="106" w:name="_Toc10406"/>
      <w:bookmarkStart w:id="107" w:name="_Toc6905"/>
      <w:bookmarkStart w:id="108" w:name="_Toc23858"/>
      <w:bookmarkStart w:id="109" w:name="_Toc529"/>
      <w:bookmarkStart w:id="110" w:name="_Toc8944"/>
      <w:bookmarkStart w:id="111" w:name="_Toc30515"/>
      <w:bookmarkStart w:id="112" w:name="_Toc75793516"/>
      <w:r>
        <w:rPr>
          <w:rFonts w:hint="eastAsia" w:ascii="宋体" w:hAnsi="宋体" w:eastAsia="宋体" w:cs="宋体"/>
          <w:color w:val="auto"/>
          <w:sz w:val="24"/>
          <w:szCs w:val="24"/>
          <w:highlight w:val="none"/>
          <w:lang w:val="en-US" w:eastAsia="zh-CN"/>
        </w:rPr>
        <w:t>十</w:t>
      </w:r>
      <w:r>
        <w:rPr>
          <w:rFonts w:hint="eastAsia" w:ascii="宋体" w:hAnsi="宋体" w:eastAsia="宋体" w:cs="宋体"/>
          <w:color w:val="auto"/>
          <w:sz w:val="24"/>
          <w:szCs w:val="24"/>
          <w:highlight w:val="none"/>
        </w:rPr>
        <w:t>、</w:t>
      </w:r>
      <w:bookmarkEnd w:id="95"/>
      <w:r>
        <w:rPr>
          <w:rFonts w:hint="eastAsia" w:ascii="宋体" w:hAnsi="宋体" w:eastAsia="宋体" w:cs="宋体"/>
          <w:color w:val="auto"/>
          <w:sz w:val="24"/>
          <w:szCs w:val="24"/>
          <w:highlight w:val="none"/>
        </w:rPr>
        <w:t>其他</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0546601">
      <w:pPr>
        <w:keepNext w:val="0"/>
        <w:keepLines w:val="0"/>
        <w:pageBreakBefore w:val="0"/>
        <w:widowControl w:val="0"/>
        <w:kinsoku/>
        <w:wordWrap/>
        <w:overflowPunct/>
        <w:topLinePunct w:val="0"/>
        <w:autoSpaceDE/>
        <w:autoSpaceDN/>
        <w:bidi w:val="0"/>
        <w:spacing w:after="0"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（一）中选人必须在响应文件中对以上条款和服务承诺明确列出，承诺内容必须达到本篇及招标文件其他条款的要求。</w:t>
      </w:r>
    </w:p>
    <w:p w14:paraId="722EDE46">
      <w:pPr>
        <w:keepNext w:val="0"/>
        <w:keepLines w:val="0"/>
        <w:pageBreakBefore w:val="0"/>
        <w:widowControl w:val="0"/>
        <w:kinsoku/>
        <w:wordWrap/>
        <w:overflowPunct/>
        <w:topLinePunct w:val="0"/>
        <w:autoSpaceDE/>
        <w:autoSpaceDN/>
        <w:bidi w:val="0"/>
        <w:spacing w:after="0" w:line="360" w:lineRule="auto"/>
        <w:ind w:left="0" w:leftChars="0" w:firstLine="480" w:firstLineChars="200"/>
        <w:jc w:val="both"/>
        <w:rPr>
          <w:rFonts w:hint="eastAsia" w:ascii="黑体" w:hAnsi="黑体" w:eastAsia="黑体" w:cs="黑体"/>
          <w:color w:val="auto"/>
          <w:sz w:val="32"/>
          <w:szCs w:val="32"/>
          <w:highlight w:val="none"/>
          <w:shd w:val="clear" w:color="auto" w:fill="FFFFFF"/>
          <w:lang w:eastAsia="zh-CN"/>
        </w:rPr>
      </w:pPr>
      <w:r>
        <w:rPr>
          <w:rFonts w:hint="eastAsia" w:ascii="宋体" w:hAnsi="宋体" w:eastAsia="宋体" w:cs="宋体"/>
          <w:color w:val="auto"/>
          <w:kern w:val="2"/>
          <w:sz w:val="24"/>
          <w:szCs w:val="24"/>
          <w:highlight w:val="none"/>
          <w:lang w:val="en-US" w:eastAsia="zh-CN" w:bidi="ar-SA"/>
        </w:rPr>
        <w:t>（二）其他未尽事宜由供需双方在合同中详细约定。</w:t>
      </w:r>
      <w:bookmarkEnd w:id="61"/>
      <w:bookmarkEnd w:id="62"/>
      <w:bookmarkEnd w:id="63"/>
      <w:bookmarkEnd w:id="64"/>
      <w:bookmarkEnd w:id="65"/>
      <w:bookmarkEnd w:id="66"/>
      <w:bookmarkEnd w:id="67"/>
      <w:bookmarkEnd w:id="68"/>
    </w:p>
    <w:p w14:paraId="7105A147">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383C496E">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17B8A85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14DFE93">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B914706">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75ECD84">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9E4441B">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5333937">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1F91E2B9">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BC8C080">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三明城投集团房地产开发有限公司</w:t>
      </w:r>
      <w:r>
        <w:rPr>
          <w:rFonts w:hint="eastAsia"/>
          <w:color w:val="auto"/>
          <w:highlight w:val="none"/>
        </w:rPr>
        <w:t>（比选人）：</w:t>
      </w:r>
    </w:p>
    <w:p w14:paraId="5BFC80FD">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城发大厦智能化运维服务项目</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城发大厦智能化运维服务项目</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7"/>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7B33BFDA">
      <w:pPr>
        <w:pStyle w:val="7"/>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拟派出项目负责人简要情况表；</w:t>
      </w:r>
    </w:p>
    <w:p w14:paraId="19E15F73">
      <w:pPr>
        <w:pStyle w:val="7"/>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val="en-US" w:eastAsia="zh-CN"/>
        </w:rPr>
        <w:t>其他证明文件</w:t>
      </w:r>
      <w:r>
        <w:rPr>
          <w:rFonts w:hint="eastAsia"/>
          <w:i w:val="0"/>
          <w:iCs w:val="0"/>
          <w:color w:val="auto"/>
          <w:highlight w:val="none"/>
          <w:lang w:eastAsia="zh-CN"/>
        </w:rPr>
        <w:t>。</w:t>
      </w:r>
    </w:p>
    <w:p w14:paraId="6465F332">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10"/>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10"/>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10"/>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10"/>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10"/>
              <w:jc w:val="center"/>
              <w:rPr>
                <w:rFonts w:hint="eastAsia" w:ascii="宋体" w:cs="仿宋_GB2312"/>
                <w:color w:val="auto"/>
                <w:spacing w:val="14"/>
                <w:szCs w:val="21"/>
                <w:highlight w:val="none"/>
              </w:rPr>
            </w:pPr>
          </w:p>
        </w:tc>
        <w:tc>
          <w:tcPr>
            <w:tcW w:w="1440" w:type="dxa"/>
            <w:noWrap w:val="0"/>
            <w:vAlign w:val="center"/>
          </w:tcPr>
          <w:p w14:paraId="760B961A">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10"/>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10"/>
              <w:jc w:val="center"/>
              <w:rPr>
                <w:rFonts w:hint="eastAsia" w:ascii="宋体" w:cs="仿宋_GB2312"/>
                <w:color w:val="auto"/>
                <w:spacing w:val="14"/>
                <w:szCs w:val="21"/>
                <w:highlight w:val="none"/>
              </w:rPr>
            </w:pPr>
          </w:p>
        </w:tc>
        <w:tc>
          <w:tcPr>
            <w:tcW w:w="1440" w:type="dxa"/>
            <w:noWrap w:val="0"/>
            <w:vAlign w:val="center"/>
          </w:tcPr>
          <w:p w14:paraId="0B18085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10"/>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10"/>
              <w:jc w:val="center"/>
              <w:rPr>
                <w:rFonts w:hint="eastAsia" w:ascii="宋体" w:cs="仿宋_GB2312"/>
                <w:color w:val="auto"/>
                <w:spacing w:val="14"/>
                <w:szCs w:val="21"/>
                <w:highlight w:val="none"/>
              </w:rPr>
            </w:pPr>
          </w:p>
        </w:tc>
        <w:tc>
          <w:tcPr>
            <w:tcW w:w="1440" w:type="dxa"/>
            <w:noWrap w:val="0"/>
            <w:vAlign w:val="center"/>
          </w:tcPr>
          <w:p w14:paraId="7638FBF7">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10"/>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10"/>
              <w:jc w:val="center"/>
              <w:rPr>
                <w:rFonts w:hint="eastAsia" w:ascii="宋体" w:cs="仿宋_GB2312"/>
                <w:color w:val="auto"/>
                <w:spacing w:val="14"/>
                <w:szCs w:val="21"/>
                <w:highlight w:val="none"/>
              </w:rPr>
            </w:pPr>
          </w:p>
        </w:tc>
        <w:tc>
          <w:tcPr>
            <w:tcW w:w="1440" w:type="dxa"/>
            <w:noWrap w:val="0"/>
            <w:vAlign w:val="center"/>
          </w:tcPr>
          <w:p w14:paraId="2AFDA817">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10"/>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10"/>
              <w:rPr>
                <w:rFonts w:hint="eastAsia" w:ascii="宋体" w:cs="仿宋_GB2312"/>
                <w:color w:val="auto"/>
                <w:spacing w:val="14"/>
                <w:szCs w:val="21"/>
                <w:highlight w:val="none"/>
              </w:rPr>
            </w:pPr>
          </w:p>
          <w:p w14:paraId="284038C2">
            <w:pPr>
              <w:pStyle w:val="10"/>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10"/>
        <w:rPr>
          <w:rFonts w:hint="eastAsia" w:ascii="宋体" w:cs="仿宋_GB2312"/>
          <w:color w:val="auto"/>
          <w:spacing w:val="14"/>
          <w:sz w:val="24"/>
          <w:highlight w:val="none"/>
        </w:rPr>
      </w:pPr>
    </w:p>
    <w:p w14:paraId="2CAAD86A">
      <w:pPr>
        <w:pStyle w:val="10"/>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10"/>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10"/>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6D12585">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w:t>
      </w:r>
      <w:r>
        <w:rPr>
          <w:rFonts w:hint="eastAsia" w:ascii="宋体" w:hAnsi="宋体" w:eastAsia="宋体" w:cs="宋体"/>
          <w:b/>
          <w:bCs w:val="0"/>
          <w:i w:val="0"/>
          <w:iCs w:val="0"/>
          <w:color w:val="auto"/>
          <w:szCs w:val="21"/>
          <w:highlight w:val="none"/>
          <w:u w:val="double"/>
          <w:lang w:eastAsia="zh-CN"/>
        </w:rPr>
        <w:t>资质证书复印件、涉密信息系统集成</w:t>
      </w:r>
      <w:r>
        <w:rPr>
          <w:rFonts w:hint="eastAsia" w:ascii="宋体" w:hAnsi="宋体" w:eastAsia="宋体" w:cs="宋体"/>
          <w:b/>
          <w:bCs w:val="0"/>
          <w:i w:val="0"/>
          <w:iCs w:val="0"/>
          <w:color w:val="auto"/>
          <w:szCs w:val="21"/>
          <w:highlight w:val="none"/>
          <w:u w:val="double"/>
          <w:lang w:val="en-US" w:eastAsia="zh-CN"/>
        </w:rPr>
        <w:t>从证书</w:t>
      </w:r>
      <w:r>
        <w:rPr>
          <w:rFonts w:hint="eastAsia" w:ascii="宋体" w:hAnsi="宋体" w:eastAsia="宋体" w:cs="宋体"/>
          <w:b/>
          <w:bCs w:val="0"/>
          <w:i w:val="0"/>
          <w:iCs w:val="0"/>
          <w:color w:val="auto"/>
          <w:szCs w:val="21"/>
          <w:highlight w:val="none"/>
          <w:u w:val="double"/>
          <w:lang w:eastAsia="zh-CN"/>
        </w:rPr>
        <w:t>复印件</w:t>
      </w:r>
      <w:r>
        <w:rPr>
          <w:rFonts w:hint="eastAsia" w:ascii="宋体" w:hAnsi="宋体" w:eastAsia="宋体" w:cs="宋体"/>
          <w:b/>
          <w:bCs w:val="0"/>
          <w:color w:val="auto"/>
          <w:szCs w:val="21"/>
          <w:highlight w:val="none"/>
          <w:u w:val="double"/>
          <w:lang w:eastAsia="zh-CN"/>
        </w:rPr>
        <w:t>，并加盖单位公章</w:t>
      </w:r>
      <w:r>
        <w:rPr>
          <w:rFonts w:hint="eastAsia" w:ascii="宋体"/>
          <w:b/>
          <w:bCs w:val="0"/>
          <w:color w:val="auto"/>
          <w:sz w:val="22"/>
          <w:szCs w:val="22"/>
          <w:highlight w:val="none"/>
          <w:u w:val="none"/>
          <w:lang w:eastAsia="zh-CN"/>
        </w:rPr>
        <w:t>；</w:t>
      </w:r>
    </w:p>
    <w:p w14:paraId="4EFA9D48">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7"/>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7"/>
        <w:shd w:val="clear" w:color="auto" w:fill="FFFFFF"/>
        <w:spacing w:before="0" w:beforeAutospacing="0" w:after="0" w:afterAutospacing="0" w:line="560" w:lineRule="atLeast"/>
        <w:ind w:firstLine="640"/>
        <w:rPr>
          <w:color w:val="auto"/>
          <w:highlight w:val="none"/>
          <w:shd w:val="clear" w:color="auto" w:fill="FFFFFF"/>
        </w:rPr>
      </w:pPr>
    </w:p>
    <w:p w14:paraId="2E988B75">
      <w:pPr>
        <w:pStyle w:val="7"/>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7"/>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7"/>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7"/>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42FCC997">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62"/>
        <w:textAlignment w:val="auto"/>
        <w:rPr>
          <w:rFonts w:hint="eastAsia"/>
          <w:lang w:val="en-US" w:eastAsia="zh-CN"/>
        </w:rPr>
      </w:pPr>
      <w:r>
        <w:rPr>
          <w:rFonts w:hint="eastAsia" w:ascii="宋体"/>
          <w:b/>
          <w:i w:val="0"/>
          <w:iCs w:val="0"/>
          <w:color w:val="auto"/>
          <w:sz w:val="24"/>
          <w:szCs w:val="24"/>
          <w:highlight w:val="none"/>
          <w:lang w:val="en-US" w:eastAsia="zh-CN"/>
        </w:rPr>
        <w:t>1-3.拟派出项目负责人简要情况表</w:t>
      </w:r>
    </w:p>
    <w:p w14:paraId="6B42B101">
      <w:pPr>
        <w:jc w:val="center"/>
        <w:rPr>
          <w:rFonts w:hint="eastAsia" w:ascii="宋体" w:hAnsi="宋体" w:cs="宋体"/>
          <w:b/>
          <w:sz w:val="30"/>
          <w:szCs w:val="30"/>
        </w:rPr>
      </w:pPr>
      <w:r>
        <w:rPr>
          <w:rFonts w:hint="eastAsia" w:ascii="宋体" w:hAnsi="宋体" w:cs="宋体"/>
          <w:b/>
          <w:sz w:val="30"/>
          <w:szCs w:val="30"/>
        </w:rPr>
        <w:t>拟派出项目负责人简要情况表</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913"/>
        <w:gridCol w:w="1662"/>
        <w:gridCol w:w="1024"/>
        <w:gridCol w:w="363"/>
        <w:gridCol w:w="1342"/>
        <w:gridCol w:w="252"/>
        <w:gridCol w:w="1880"/>
      </w:tblGrid>
      <w:tr w14:paraId="1E699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212" w:type="dxa"/>
            <w:noWrap w:val="0"/>
            <w:vAlign w:val="center"/>
          </w:tcPr>
          <w:p w14:paraId="5A45D1B9">
            <w:pPr>
              <w:jc w:val="center"/>
              <w:rPr>
                <w:rFonts w:hint="eastAsia" w:ascii="宋体" w:hAnsi="宋体" w:cs="宋体"/>
                <w:sz w:val="24"/>
                <w:szCs w:val="24"/>
              </w:rPr>
            </w:pPr>
            <w:r>
              <w:rPr>
                <w:rFonts w:hint="eastAsia" w:ascii="宋体" w:hAnsi="宋体" w:cs="宋体"/>
                <w:sz w:val="24"/>
                <w:szCs w:val="24"/>
              </w:rPr>
              <w:t>姓  名</w:t>
            </w:r>
          </w:p>
        </w:tc>
        <w:tc>
          <w:tcPr>
            <w:tcW w:w="913" w:type="dxa"/>
            <w:noWrap w:val="0"/>
            <w:vAlign w:val="center"/>
          </w:tcPr>
          <w:p w14:paraId="271CAA50">
            <w:pPr>
              <w:jc w:val="center"/>
              <w:rPr>
                <w:rFonts w:hint="eastAsia" w:ascii="宋体" w:hAnsi="宋体" w:cs="宋体"/>
                <w:sz w:val="24"/>
                <w:szCs w:val="24"/>
              </w:rPr>
            </w:pPr>
          </w:p>
        </w:tc>
        <w:tc>
          <w:tcPr>
            <w:tcW w:w="1662" w:type="dxa"/>
            <w:noWrap w:val="0"/>
            <w:vAlign w:val="center"/>
          </w:tcPr>
          <w:p w14:paraId="432990D1">
            <w:pPr>
              <w:jc w:val="center"/>
              <w:rPr>
                <w:rFonts w:hint="eastAsia" w:ascii="宋体" w:hAnsi="宋体" w:cs="宋体"/>
                <w:sz w:val="24"/>
                <w:szCs w:val="24"/>
              </w:rPr>
            </w:pPr>
            <w:r>
              <w:rPr>
                <w:rFonts w:hint="eastAsia" w:ascii="宋体" w:hAnsi="宋体" w:cs="宋体"/>
                <w:sz w:val="24"/>
                <w:szCs w:val="24"/>
              </w:rPr>
              <w:t>身份证号码</w:t>
            </w:r>
          </w:p>
        </w:tc>
        <w:tc>
          <w:tcPr>
            <w:tcW w:w="4861" w:type="dxa"/>
            <w:gridSpan w:val="5"/>
            <w:noWrap w:val="0"/>
            <w:vAlign w:val="center"/>
          </w:tcPr>
          <w:p w14:paraId="793A7F6D">
            <w:pPr>
              <w:jc w:val="center"/>
              <w:rPr>
                <w:rFonts w:hint="eastAsia" w:ascii="宋体" w:hAnsi="宋体" w:cs="宋体"/>
                <w:sz w:val="24"/>
                <w:szCs w:val="24"/>
              </w:rPr>
            </w:pPr>
          </w:p>
        </w:tc>
      </w:tr>
      <w:tr w14:paraId="3908B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212" w:type="dxa"/>
            <w:noWrap w:val="0"/>
            <w:vAlign w:val="center"/>
          </w:tcPr>
          <w:p w14:paraId="65DCB52D">
            <w:pPr>
              <w:jc w:val="center"/>
              <w:rPr>
                <w:rFonts w:hint="eastAsia" w:ascii="宋体" w:hAnsi="宋体" w:cs="宋体"/>
                <w:sz w:val="24"/>
                <w:szCs w:val="24"/>
              </w:rPr>
            </w:pPr>
            <w:r>
              <w:rPr>
                <w:rFonts w:hint="eastAsia" w:ascii="宋体" w:hAnsi="宋体" w:cs="宋体"/>
                <w:sz w:val="24"/>
                <w:szCs w:val="24"/>
              </w:rPr>
              <w:t>职  称</w:t>
            </w:r>
          </w:p>
        </w:tc>
        <w:tc>
          <w:tcPr>
            <w:tcW w:w="913" w:type="dxa"/>
            <w:noWrap w:val="0"/>
            <w:vAlign w:val="center"/>
          </w:tcPr>
          <w:p w14:paraId="2379D49D">
            <w:pPr>
              <w:jc w:val="center"/>
              <w:rPr>
                <w:rFonts w:hint="eastAsia" w:ascii="宋体" w:hAnsi="宋体" w:cs="宋体"/>
                <w:sz w:val="24"/>
                <w:szCs w:val="24"/>
              </w:rPr>
            </w:pPr>
          </w:p>
        </w:tc>
        <w:tc>
          <w:tcPr>
            <w:tcW w:w="1662" w:type="dxa"/>
            <w:noWrap w:val="0"/>
            <w:vAlign w:val="center"/>
          </w:tcPr>
          <w:p w14:paraId="129CE6EA">
            <w:pPr>
              <w:jc w:val="center"/>
              <w:rPr>
                <w:rFonts w:hint="eastAsia" w:ascii="宋体" w:hAnsi="宋体" w:cs="宋体"/>
                <w:sz w:val="24"/>
                <w:szCs w:val="24"/>
              </w:rPr>
            </w:pPr>
            <w:r>
              <w:rPr>
                <w:rFonts w:hint="eastAsia" w:ascii="宋体" w:hAnsi="宋体" w:cs="宋体"/>
                <w:sz w:val="24"/>
                <w:szCs w:val="24"/>
              </w:rPr>
              <w:t>职称证书编号</w:t>
            </w:r>
          </w:p>
        </w:tc>
        <w:tc>
          <w:tcPr>
            <w:tcW w:w="1387" w:type="dxa"/>
            <w:gridSpan w:val="2"/>
            <w:noWrap w:val="0"/>
            <w:vAlign w:val="center"/>
          </w:tcPr>
          <w:p w14:paraId="2EBA1FEC">
            <w:pPr>
              <w:jc w:val="center"/>
              <w:rPr>
                <w:rFonts w:hint="eastAsia" w:ascii="宋体" w:hAnsi="宋体" w:cs="宋体"/>
                <w:sz w:val="24"/>
                <w:szCs w:val="24"/>
              </w:rPr>
            </w:pPr>
          </w:p>
        </w:tc>
        <w:tc>
          <w:tcPr>
            <w:tcW w:w="1594" w:type="dxa"/>
            <w:gridSpan w:val="2"/>
            <w:noWrap w:val="0"/>
            <w:vAlign w:val="center"/>
          </w:tcPr>
          <w:p w14:paraId="728D3A9E">
            <w:pPr>
              <w:jc w:val="center"/>
              <w:rPr>
                <w:rFonts w:hint="eastAsia" w:ascii="宋体" w:hAnsi="宋体" w:cs="宋体"/>
                <w:sz w:val="24"/>
                <w:szCs w:val="24"/>
              </w:rPr>
            </w:pPr>
            <w:r>
              <w:rPr>
                <w:rFonts w:hint="eastAsia" w:ascii="宋体" w:hAnsi="宋体" w:cs="宋体"/>
                <w:sz w:val="24"/>
                <w:szCs w:val="24"/>
              </w:rPr>
              <w:t>性别</w:t>
            </w:r>
          </w:p>
        </w:tc>
        <w:tc>
          <w:tcPr>
            <w:tcW w:w="1880" w:type="dxa"/>
            <w:noWrap w:val="0"/>
            <w:vAlign w:val="center"/>
          </w:tcPr>
          <w:p w14:paraId="2BD51829">
            <w:pPr>
              <w:jc w:val="center"/>
              <w:rPr>
                <w:rFonts w:hint="eastAsia" w:ascii="宋体" w:hAnsi="宋体" w:cs="宋体"/>
                <w:sz w:val="24"/>
                <w:szCs w:val="24"/>
              </w:rPr>
            </w:pPr>
          </w:p>
        </w:tc>
      </w:tr>
      <w:tr w14:paraId="423CD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787" w:type="dxa"/>
            <w:gridSpan w:val="3"/>
            <w:noWrap w:val="0"/>
            <w:vAlign w:val="center"/>
          </w:tcPr>
          <w:p w14:paraId="0DC0C60A">
            <w:pPr>
              <w:jc w:val="center"/>
              <w:rPr>
                <w:rFonts w:hint="eastAsia" w:ascii="宋体" w:hAnsi="宋体" w:cs="宋体"/>
                <w:sz w:val="24"/>
                <w:szCs w:val="24"/>
              </w:rPr>
            </w:pPr>
            <w:r>
              <w:rPr>
                <w:rFonts w:hint="eastAsia" w:ascii="宋体" w:hAnsi="宋体" w:cs="宋体"/>
                <w:sz w:val="24"/>
                <w:szCs w:val="24"/>
              </w:rPr>
              <w:t>注册建造师执业资格等级</w:t>
            </w:r>
          </w:p>
        </w:tc>
        <w:tc>
          <w:tcPr>
            <w:tcW w:w="1387" w:type="dxa"/>
            <w:gridSpan w:val="2"/>
            <w:noWrap w:val="0"/>
            <w:vAlign w:val="center"/>
          </w:tcPr>
          <w:p w14:paraId="401B0A2A">
            <w:pPr>
              <w:jc w:val="center"/>
              <w:rPr>
                <w:rFonts w:hint="eastAsia" w:ascii="宋体" w:hAnsi="宋体" w:cs="宋体"/>
                <w:sz w:val="24"/>
                <w:szCs w:val="24"/>
              </w:rPr>
            </w:pPr>
            <w:r>
              <w:rPr>
                <w:rFonts w:hint="eastAsia" w:ascii="宋体" w:hAnsi="宋体" w:cs="宋体"/>
                <w:sz w:val="24"/>
                <w:szCs w:val="24"/>
              </w:rPr>
              <w:t xml:space="preserve">   级</w:t>
            </w:r>
          </w:p>
        </w:tc>
        <w:tc>
          <w:tcPr>
            <w:tcW w:w="1594" w:type="dxa"/>
            <w:gridSpan w:val="2"/>
            <w:noWrap w:val="0"/>
            <w:vAlign w:val="center"/>
          </w:tcPr>
          <w:p w14:paraId="28072ECF">
            <w:pPr>
              <w:jc w:val="center"/>
              <w:rPr>
                <w:rFonts w:hint="eastAsia" w:ascii="宋体" w:hAnsi="宋体" w:cs="宋体"/>
                <w:sz w:val="24"/>
                <w:szCs w:val="24"/>
              </w:rPr>
            </w:pPr>
            <w:r>
              <w:rPr>
                <w:rFonts w:hint="eastAsia" w:ascii="宋体" w:hAnsi="宋体" w:cs="宋体"/>
                <w:sz w:val="24"/>
                <w:szCs w:val="24"/>
              </w:rPr>
              <w:t>建造师专业</w:t>
            </w:r>
          </w:p>
        </w:tc>
        <w:tc>
          <w:tcPr>
            <w:tcW w:w="1880" w:type="dxa"/>
            <w:noWrap w:val="0"/>
            <w:vAlign w:val="center"/>
          </w:tcPr>
          <w:p w14:paraId="0AC1898E">
            <w:pPr>
              <w:jc w:val="center"/>
              <w:rPr>
                <w:rFonts w:hint="eastAsia" w:ascii="宋体" w:hAnsi="宋体" w:cs="宋体"/>
                <w:sz w:val="24"/>
                <w:szCs w:val="24"/>
              </w:rPr>
            </w:pPr>
          </w:p>
        </w:tc>
      </w:tr>
      <w:tr w14:paraId="1A95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787" w:type="dxa"/>
            <w:gridSpan w:val="3"/>
            <w:noWrap w:val="0"/>
            <w:vAlign w:val="center"/>
          </w:tcPr>
          <w:p w14:paraId="3C1E9221">
            <w:pPr>
              <w:spacing w:line="560" w:lineRule="exact"/>
              <w:jc w:val="center"/>
              <w:rPr>
                <w:rFonts w:hint="eastAsia" w:ascii="宋体" w:hAnsi="宋体" w:cs="宋体"/>
                <w:sz w:val="24"/>
                <w:szCs w:val="24"/>
              </w:rPr>
            </w:pPr>
            <w:r>
              <w:rPr>
                <w:rFonts w:hint="eastAsia" w:ascii="宋体" w:hAnsi="宋体" w:cs="宋体"/>
                <w:sz w:val="24"/>
                <w:szCs w:val="24"/>
              </w:rPr>
              <w:t>建造师注册编号</w:t>
            </w:r>
          </w:p>
        </w:tc>
        <w:tc>
          <w:tcPr>
            <w:tcW w:w="1387" w:type="dxa"/>
            <w:gridSpan w:val="2"/>
            <w:noWrap w:val="0"/>
            <w:vAlign w:val="center"/>
          </w:tcPr>
          <w:p w14:paraId="0C0D41BA">
            <w:pPr>
              <w:jc w:val="center"/>
              <w:rPr>
                <w:rFonts w:hint="eastAsia" w:ascii="宋体" w:hAnsi="宋体" w:cs="宋体"/>
                <w:sz w:val="24"/>
                <w:szCs w:val="24"/>
              </w:rPr>
            </w:pPr>
          </w:p>
        </w:tc>
        <w:tc>
          <w:tcPr>
            <w:tcW w:w="1594" w:type="dxa"/>
            <w:gridSpan w:val="2"/>
            <w:noWrap w:val="0"/>
            <w:vAlign w:val="center"/>
          </w:tcPr>
          <w:p w14:paraId="31C72879">
            <w:pPr>
              <w:jc w:val="center"/>
              <w:rPr>
                <w:rFonts w:hint="eastAsia" w:ascii="宋体" w:hAnsi="宋体" w:cs="宋体"/>
                <w:sz w:val="24"/>
                <w:szCs w:val="24"/>
              </w:rPr>
            </w:pPr>
            <w:r>
              <w:rPr>
                <w:rFonts w:hint="eastAsia" w:ascii="宋体" w:hAnsi="宋体" w:cs="宋体"/>
                <w:sz w:val="24"/>
                <w:szCs w:val="24"/>
              </w:rPr>
              <w:t>安全生产考核合格证书</w:t>
            </w:r>
          </w:p>
        </w:tc>
        <w:tc>
          <w:tcPr>
            <w:tcW w:w="1880" w:type="dxa"/>
            <w:noWrap w:val="0"/>
            <w:vAlign w:val="center"/>
          </w:tcPr>
          <w:p w14:paraId="4EBE00B7">
            <w:pPr>
              <w:jc w:val="center"/>
              <w:rPr>
                <w:rFonts w:hint="eastAsia" w:ascii="宋体" w:hAnsi="宋体" w:cs="宋体"/>
                <w:sz w:val="24"/>
                <w:szCs w:val="24"/>
              </w:rPr>
            </w:pPr>
          </w:p>
        </w:tc>
      </w:tr>
      <w:tr w14:paraId="40FE8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787" w:type="dxa"/>
            <w:gridSpan w:val="3"/>
            <w:noWrap w:val="0"/>
            <w:vAlign w:val="center"/>
          </w:tcPr>
          <w:p w14:paraId="4080BC44">
            <w:pPr>
              <w:jc w:val="center"/>
              <w:rPr>
                <w:rFonts w:hint="eastAsia" w:ascii="宋体" w:hAnsi="宋体" w:cs="宋体"/>
                <w:sz w:val="24"/>
                <w:szCs w:val="24"/>
              </w:rPr>
            </w:pPr>
            <w:r>
              <w:rPr>
                <w:rFonts w:hint="eastAsia" w:ascii="宋体" w:hAnsi="宋体" w:cs="宋体"/>
                <w:sz w:val="24"/>
                <w:szCs w:val="24"/>
              </w:rPr>
              <w:t>手机号码</w:t>
            </w:r>
          </w:p>
        </w:tc>
        <w:tc>
          <w:tcPr>
            <w:tcW w:w="1387" w:type="dxa"/>
            <w:gridSpan w:val="2"/>
            <w:tcBorders>
              <w:right w:val="single" w:color="auto" w:sz="4" w:space="0"/>
            </w:tcBorders>
            <w:noWrap w:val="0"/>
            <w:vAlign w:val="center"/>
          </w:tcPr>
          <w:p w14:paraId="6E86802A">
            <w:pPr>
              <w:jc w:val="center"/>
              <w:rPr>
                <w:rFonts w:hint="eastAsia" w:ascii="宋体" w:hAnsi="宋体" w:cs="宋体"/>
                <w:sz w:val="24"/>
                <w:szCs w:val="24"/>
              </w:rPr>
            </w:pPr>
          </w:p>
        </w:tc>
        <w:tc>
          <w:tcPr>
            <w:tcW w:w="1594" w:type="dxa"/>
            <w:gridSpan w:val="2"/>
            <w:tcBorders>
              <w:left w:val="single" w:color="auto" w:sz="4" w:space="0"/>
              <w:right w:val="single" w:color="auto" w:sz="4" w:space="0"/>
            </w:tcBorders>
            <w:noWrap w:val="0"/>
            <w:vAlign w:val="center"/>
          </w:tcPr>
          <w:p w14:paraId="6F34BB71">
            <w:pPr>
              <w:jc w:val="center"/>
              <w:rPr>
                <w:rFonts w:hint="eastAsia" w:ascii="宋体" w:hAnsi="宋体" w:cs="宋体"/>
                <w:sz w:val="24"/>
                <w:szCs w:val="24"/>
              </w:rPr>
            </w:pPr>
            <w:r>
              <w:rPr>
                <w:rFonts w:hint="eastAsia" w:ascii="宋体" w:hAnsi="宋体" w:cs="宋体"/>
                <w:sz w:val="24"/>
                <w:szCs w:val="24"/>
              </w:rPr>
              <w:t>最高学历</w:t>
            </w:r>
          </w:p>
        </w:tc>
        <w:tc>
          <w:tcPr>
            <w:tcW w:w="1880" w:type="dxa"/>
            <w:tcBorders>
              <w:left w:val="single" w:color="auto" w:sz="4" w:space="0"/>
            </w:tcBorders>
            <w:noWrap w:val="0"/>
            <w:vAlign w:val="center"/>
          </w:tcPr>
          <w:p w14:paraId="6B0069A6">
            <w:pPr>
              <w:jc w:val="center"/>
              <w:rPr>
                <w:rFonts w:hint="eastAsia" w:ascii="宋体" w:hAnsi="宋体" w:cs="宋体"/>
                <w:sz w:val="24"/>
                <w:szCs w:val="24"/>
              </w:rPr>
            </w:pPr>
          </w:p>
        </w:tc>
      </w:tr>
      <w:tr w14:paraId="008DF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212" w:type="dxa"/>
            <w:noWrap w:val="0"/>
            <w:vAlign w:val="center"/>
          </w:tcPr>
          <w:p w14:paraId="7AF0124B">
            <w:pPr>
              <w:jc w:val="center"/>
              <w:rPr>
                <w:rFonts w:hint="eastAsia" w:ascii="宋体" w:hAnsi="宋体" w:cs="宋体"/>
                <w:sz w:val="24"/>
                <w:szCs w:val="24"/>
              </w:rPr>
            </w:pPr>
            <w:r>
              <w:rPr>
                <w:rFonts w:hint="eastAsia" w:ascii="宋体" w:hAnsi="宋体" w:cs="宋体"/>
                <w:sz w:val="24"/>
                <w:szCs w:val="24"/>
              </w:rPr>
              <w:t>毕业学校</w:t>
            </w:r>
          </w:p>
        </w:tc>
        <w:tc>
          <w:tcPr>
            <w:tcW w:w="7436" w:type="dxa"/>
            <w:gridSpan w:val="7"/>
            <w:noWrap w:val="0"/>
            <w:vAlign w:val="center"/>
          </w:tcPr>
          <w:p w14:paraId="6ECF09F6">
            <w:pPr>
              <w:ind w:firstLine="960" w:firstLineChars="400"/>
              <w:rPr>
                <w:rFonts w:hint="eastAsia" w:ascii="宋体" w:hAnsi="宋体" w:cs="宋体"/>
                <w:sz w:val="24"/>
                <w:szCs w:val="24"/>
              </w:rPr>
            </w:pPr>
            <w:r>
              <w:rPr>
                <w:rFonts w:hint="eastAsia" w:ascii="宋体" w:hAnsi="宋体" w:cs="宋体"/>
                <w:sz w:val="24"/>
                <w:szCs w:val="24"/>
              </w:rPr>
              <w:t>年毕业于                  学校            专业</w:t>
            </w:r>
          </w:p>
        </w:tc>
      </w:tr>
      <w:tr w14:paraId="03B2A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48" w:type="dxa"/>
            <w:gridSpan w:val="8"/>
            <w:noWrap w:val="0"/>
            <w:vAlign w:val="center"/>
          </w:tcPr>
          <w:p w14:paraId="475B04F8">
            <w:pPr>
              <w:jc w:val="center"/>
              <w:rPr>
                <w:rFonts w:hint="eastAsia" w:ascii="宋体" w:hAnsi="宋体" w:cs="宋体"/>
                <w:sz w:val="24"/>
                <w:szCs w:val="24"/>
              </w:rPr>
            </w:pPr>
            <w:r>
              <w:rPr>
                <w:rFonts w:hint="eastAsia" w:ascii="宋体" w:hAnsi="宋体" w:cs="宋体"/>
                <w:sz w:val="24"/>
                <w:szCs w:val="24"/>
              </w:rPr>
              <w:t>主要工作经历</w:t>
            </w:r>
          </w:p>
        </w:tc>
      </w:tr>
      <w:tr w14:paraId="10F6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12" w:type="dxa"/>
            <w:noWrap w:val="0"/>
            <w:vAlign w:val="center"/>
          </w:tcPr>
          <w:p w14:paraId="5F46EFED">
            <w:pPr>
              <w:jc w:val="center"/>
              <w:rPr>
                <w:rFonts w:hint="eastAsia" w:ascii="宋体" w:hAnsi="宋体" w:cs="宋体"/>
                <w:sz w:val="24"/>
                <w:szCs w:val="24"/>
              </w:rPr>
            </w:pPr>
            <w:r>
              <w:rPr>
                <w:rFonts w:hint="eastAsia" w:ascii="宋体" w:hAnsi="宋体" w:cs="宋体"/>
                <w:sz w:val="24"/>
                <w:szCs w:val="24"/>
              </w:rPr>
              <w:t>时  间</w:t>
            </w:r>
          </w:p>
        </w:tc>
        <w:tc>
          <w:tcPr>
            <w:tcW w:w="3599" w:type="dxa"/>
            <w:gridSpan w:val="3"/>
            <w:noWrap w:val="0"/>
            <w:vAlign w:val="center"/>
          </w:tcPr>
          <w:p w14:paraId="7A996A80">
            <w:pPr>
              <w:jc w:val="center"/>
              <w:rPr>
                <w:rFonts w:hint="eastAsia" w:ascii="宋体" w:hAnsi="宋体" w:cs="宋体"/>
                <w:sz w:val="24"/>
                <w:szCs w:val="24"/>
              </w:rPr>
            </w:pPr>
            <w:r>
              <w:rPr>
                <w:rFonts w:hint="eastAsia" w:ascii="宋体" w:hAnsi="宋体" w:cs="宋体"/>
                <w:sz w:val="24"/>
                <w:szCs w:val="24"/>
              </w:rPr>
              <w:t>参加过的类似项目名称</w:t>
            </w:r>
          </w:p>
        </w:tc>
        <w:tc>
          <w:tcPr>
            <w:tcW w:w="1705" w:type="dxa"/>
            <w:gridSpan w:val="2"/>
            <w:noWrap w:val="0"/>
            <w:vAlign w:val="center"/>
          </w:tcPr>
          <w:p w14:paraId="372E5606">
            <w:pPr>
              <w:jc w:val="center"/>
              <w:rPr>
                <w:rFonts w:hint="eastAsia" w:ascii="宋体" w:hAnsi="宋体" w:cs="宋体"/>
                <w:sz w:val="24"/>
                <w:szCs w:val="24"/>
              </w:rPr>
            </w:pPr>
            <w:r>
              <w:rPr>
                <w:rFonts w:hint="eastAsia" w:ascii="宋体" w:hAnsi="宋体" w:cs="宋体"/>
                <w:sz w:val="24"/>
                <w:szCs w:val="24"/>
              </w:rPr>
              <w:t>工程概况说明</w:t>
            </w:r>
          </w:p>
        </w:tc>
        <w:tc>
          <w:tcPr>
            <w:tcW w:w="2132" w:type="dxa"/>
            <w:gridSpan w:val="2"/>
            <w:noWrap w:val="0"/>
            <w:vAlign w:val="center"/>
          </w:tcPr>
          <w:p w14:paraId="2223473E">
            <w:pPr>
              <w:jc w:val="center"/>
              <w:rPr>
                <w:rFonts w:hint="eastAsia" w:ascii="宋体" w:hAnsi="宋体" w:cs="宋体"/>
                <w:sz w:val="24"/>
                <w:szCs w:val="24"/>
              </w:rPr>
            </w:pPr>
            <w:r>
              <w:rPr>
                <w:rFonts w:hint="eastAsia" w:ascii="宋体" w:hAnsi="宋体" w:cs="宋体"/>
                <w:sz w:val="24"/>
                <w:szCs w:val="24"/>
              </w:rPr>
              <w:t>发包人名称</w:t>
            </w:r>
          </w:p>
        </w:tc>
      </w:tr>
      <w:tr w14:paraId="5753A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14:paraId="6BBF1196">
            <w:pPr>
              <w:jc w:val="center"/>
              <w:rPr>
                <w:rFonts w:hint="eastAsia" w:ascii="宋体" w:hAnsi="宋体" w:cs="宋体"/>
                <w:sz w:val="24"/>
                <w:szCs w:val="24"/>
              </w:rPr>
            </w:pPr>
          </w:p>
        </w:tc>
        <w:tc>
          <w:tcPr>
            <w:tcW w:w="3599" w:type="dxa"/>
            <w:gridSpan w:val="3"/>
            <w:noWrap w:val="0"/>
            <w:vAlign w:val="center"/>
          </w:tcPr>
          <w:p w14:paraId="4E971F90">
            <w:pPr>
              <w:jc w:val="center"/>
              <w:rPr>
                <w:rFonts w:hint="eastAsia" w:ascii="宋体" w:hAnsi="宋体" w:cs="宋体"/>
                <w:sz w:val="24"/>
                <w:szCs w:val="24"/>
              </w:rPr>
            </w:pPr>
          </w:p>
        </w:tc>
        <w:tc>
          <w:tcPr>
            <w:tcW w:w="1705" w:type="dxa"/>
            <w:gridSpan w:val="2"/>
            <w:noWrap w:val="0"/>
            <w:vAlign w:val="center"/>
          </w:tcPr>
          <w:p w14:paraId="60E1ACB2">
            <w:pPr>
              <w:jc w:val="center"/>
              <w:rPr>
                <w:rFonts w:hint="eastAsia" w:ascii="宋体" w:hAnsi="宋体" w:cs="宋体"/>
                <w:sz w:val="24"/>
                <w:szCs w:val="24"/>
              </w:rPr>
            </w:pPr>
          </w:p>
        </w:tc>
        <w:tc>
          <w:tcPr>
            <w:tcW w:w="2132" w:type="dxa"/>
            <w:gridSpan w:val="2"/>
            <w:noWrap w:val="0"/>
            <w:vAlign w:val="center"/>
          </w:tcPr>
          <w:p w14:paraId="255FCC5F">
            <w:pPr>
              <w:jc w:val="center"/>
              <w:rPr>
                <w:rFonts w:hint="eastAsia" w:ascii="宋体" w:hAnsi="宋体" w:cs="宋体"/>
                <w:sz w:val="24"/>
                <w:szCs w:val="24"/>
              </w:rPr>
            </w:pPr>
          </w:p>
        </w:tc>
      </w:tr>
      <w:tr w14:paraId="3E64A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14:paraId="36B2BCD0">
            <w:pPr>
              <w:jc w:val="center"/>
              <w:rPr>
                <w:rFonts w:hint="eastAsia" w:ascii="宋体" w:hAnsi="宋体" w:cs="宋体"/>
                <w:sz w:val="24"/>
                <w:szCs w:val="24"/>
              </w:rPr>
            </w:pPr>
          </w:p>
        </w:tc>
        <w:tc>
          <w:tcPr>
            <w:tcW w:w="3599" w:type="dxa"/>
            <w:gridSpan w:val="3"/>
            <w:noWrap w:val="0"/>
            <w:vAlign w:val="center"/>
          </w:tcPr>
          <w:p w14:paraId="22D8CD85">
            <w:pPr>
              <w:jc w:val="center"/>
              <w:rPr>
                <w:rFonts w:hint="eastAsia" w:ascii="宋体" w:hAnsi="宋体" w:cs="宋体"/>
                <w:sz w:val="24"/>
                <w:szCs w:val="24"/>
              </w:rPr>
            </w:pPr>
          </w:p>
        </w:tc>
        <w:tc>
          <w:tcPr>
            <w:tcW w:w="1705" w:type="dxa"/>
            <w:gridSpan w:val="2"/>
            <w:noWrap w:val="0"/>
            <w:vAlign w:val="center"/>
          </w:tcPr>
          <w:p w14:paraId="7A004A67">
            <w:pPr>
              <w:jc w:val="center"/>
              <w:rPr>
                <w:rFonts w:hint="eastAsia" w:ascii="宋体" w:hAnsi="宋体" w:cs="宋体"/>
                <w:sz w:val="24"/>
                <w:szCs w:val="24"/>
              </w:rPr>
            </w:pPr>
          </w:p>
        </w:tc>
        <w:tc>
          <w:tcPr>
            <w:tcW w:w="2132" w:type="dxa"/>
            <w:gridSpan w:val="2"/>
            <w:noWrap w:val="0"/>
            <w:vAlign w:val="center"/>
          </w:tcPr>
          <w:p w14:paraId="15402904">
            <w:pPr>
              <w:jc w:val="center"/>
              <w:rPr>
                <w:rFonts w:hint="eastAsia" w:ascii="宋体" w:hAnsi="宋体" w:cs="宋体"/>
                <w:sz w:val="24"/>
                <w:szCs w:val="24"/>
              </w:rPr>
            </w:pPr>
          </w:p>
        </w:tc>
      </w:tr>
      <w:tr w14:paraId="4A388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14:paraId="7D3C6FB8">
            <w:pPr>
              <w:jc w:val="center"/>
              <w:rPr>
                <w:rFonts w:hint="eastAsia" w:ascii="宋体" w:hAnsi="宋体" w:cs="宋体"/>
                <w:sz w:val="24"/>
                <w:szCs w:val="24"/>
              </w:rPr>
            </w:pPr>
          </w:p>
        </w:tc>
        <w:tc>
          <w:tcPr>
            <w:tcW w:w="3599" w:type="dxa"/>
            <w:gridSpan w:val="3"/>
            <w:noWrap w:val="0"/>
            <w:vAlign w:val="center"/>
          </w:tcPr>
          <w:p w14:paraId="5EDAE5E3">
            <w:pPr>
              <w:jc w:val="center"/>
              <w:rPr>
                <w:rFonts w:hint="eastAsia" w:ascii="宋体" w:hAnsi="宋体" w:cs="宋体"/>
                <w:sz w:val="24"/>
                <w:szCs w:val="24"/>
              </w:rPr>
            </w:pPr>
          </w:p>
        </w:tc>
        <w:tc>
          <w:tcPr>
            <w:tcW w:w="1705" w:type="dxa"/>
            <w:gridSpan w:val="2"/>
            <w:noWrap w:val="0"/>
            <w:vAlign w:val="center"/>
          </w:tcPr>
          <w:p w14:paraId="7D617F2C">
            <w:pPr>
              <w:jc w:val="center"/>
              <w:rPr>
                <w:rFonts w:hint="eastAsia" w:ascii="宋体" w:hAnsi="宋体" w:cs="宋体"/>
                <w:sz w:val="24"/>
                <w:szCs w:val="24"/>
              </w:rPr>
            </w:pPr>
          </w:p>
        </w:tc>
        <w:tc>
          <w:tcPr>
            <w:tcW w:w="2132" w:type="dxa"/>
            <w:gridSpan w:val="2"/>
            <w:noWrap w:val="0"/>
            <w:vAlign w:val="center"/>
          </w:tcPr>
          <w:p w14:paraId="0A288CC5">
            <w:pPr>
              <w:jc w:val="center"/>
              <w:rPr>
                <w:rFonts w:hint="eastAsia" w:ascii="宋体" w:hAnsi="宋体" w:cs="宋体"/>
                <w:sz w:val="24"/>
                <w:szCs w:val="24"/>
              </w:rPr>
            </w:pPr>
          </w:p>
        </w:tc>
      </w:tr>
    </w:tbl>
    <w:p w14:paraId="0D149235">
      <w:pPr>
        <w:pStyle w:val="3"/>
        <w:spacing w:line="360" w:lineRule="auto"/>
        <w:ind w:firstLine="0"/>
        <w:rPr>
          <w:rFonts w:hint="eastAsia" w:ascii="宋体" w:hAnsi="宋体" w:cs="宋体"/>
          <w:sz w:val="24"/>
          <w:szCs w:val="24"/>
        </w:rPr>
      </w:pPr>
      <w:r>
        <w:rPr>
          <w:rFonts w:hint="eastAsia" w:ascii="宋体" w:hAnsi="宋体" w:cs="宋体"/>
          <w:sz w:val="24"/>
          <w:szCs w:val="24"/>
        </w:rPr>
        <w:t xml:space="preserve">                           </w:t>
      </w:r>
    </w:p>
    <w:p w14:paraId="7AF061AC">
      <w:pPr>
        <w:pStyle w:val="3"/>
        <w:spacing w:line="360" w:lineRule="auto"/>
        <w:ind w:firstLine="0"/>
        <w:jc w:val="center"/>
        <w:rPr>
          <w:rFonts w:hint="eastAsia" w:ascii="宋体" w:hAnsi="宋体" w:cs="宋体"/>
          <w:sz w:val="24"/>
          <w:szCs w:val="24"/>
        </w:rPr>
      </w:pPr>
      <w:r>
        <w:rPr>
          <w:rFonts w:hint="eastAsia" w:ascii="宋体" w:hAnsi="宋体" w:cs="宋体"/>
          <w:sz w:val="24"/>
          <w:szCs w:val="24"/>
        </w:rPr>
        <w:t xml:space="preserve">                          投标人：</w:t>
      </w:r>
      <w:r>
        <w:rPr>
          <w:rFonts w:hint="eastAsia" w:ascii="宋体" w:hAnsi="宋体" w:cs="宋体"/>
          <w:sz w:val="24"/>
          <w:szCs w:val="24"/>
          <w:u w:val="single"/>
        </w:rPr>
        <w:t xml:space="preserve">                  </w:t>
      </w:r>
      <w:r>
        <w:rPr>
          <w:rFonts w:hint="eastAsia" w:ascii="宋体" w:hAnsi="宋体" w:cs="宋体"/>
          <w:sz w:val="24"/>
          <w:szCs w:val="24"/>
        </w:rPr>
        <w:t>(盖单位公章)</w:t>
      </w:r>
    </w:p>
    <w:p w14:paraId="1CAD4BF1">
      <w:pPr>
        <w:rPr>
          <w:rFonts w:hint="eastAsia" w:ascii="宋体" w:hAnsi="宋体" w:cs="宋体"/>
          <w:sz w:val="24"/>
          <w:szCs w:val="24"/>
        </w:rPr>
      </w:pPr>
    </w:p>
    <w:p w14:paraId="14279EA1">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31C8DD73">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ascii="宋体" w:hAnsi="宋体" w:cs="宋体"/>
          <w:b/>
          <w:sz w:val="21"/>
          <w:szCs w:val="21"/>
          <w:u w:val="double"/>
        </w:rPr>
      </w:pPr>
      <w:r>
        <w:rPr>
          <w:rFonts w:hint="eastAsia"/>
          <w:b/>
          <w:bCs/>
          <w:color w:val="auto"/>
          <w:sz w:val="21"/>
          <w:szCs w:val="21"/>
          <w:highlight w:val="none"/>
          <w:u w:val="none"/>
        </w:rPr>
        <w:t>1.</w:t>
      </w:r>
      <w:r>
        <w:rPr>
          <w:rFonts w:hint="eastAsia" w:ascii="宋体" w:hAnsi="宋体" w:cs="宋体"/>
          <w:b/>
          <w:sz w:val="21"/>
          <w:szCs w:val="21"/>
          <w:u w:val="double"/>
        </w:rPr>
        <w:t>拟派出项目负责人须附上其有效的注册建造师注册证书、身份证和住房和城乡建设行政主管部门分布发的安全生产考核合格证书B证的</w:t>
      </w:r>
      <w:r>
        <w:rPr>
          <w:rFonts w:hint="eastAsia" w:cs="宋体"/>
          <w:b/>
          <w:sz w:val="21"/>
          <w:szCs w:val="21"/>
          <w:u w:val="double"/>
          <w:lang w:val="en-US" w:eastAsia="zh-CN"/>
        </w:rPr>
        <w:t>复印</w:t>
      </w:r>
      <w:r>
        <w:rPr>
          <w:rFonts w:hint="eastAsia" w:ascii="宋体" w:hAnsi="宋体" w:cs="宋体"/>
          <w:b/>
          <w:sz w:val="21"/>
          <w:szCs w:val="21"/>
          <w:u w:val="double"/>
        </w:rPr>
        <w:t>件并加盖</w:t>
      </w:r>
      <w:r>
        <w:rPr>
          <w:rFonts w:hint="eastAsia" w:cs="宋体"/>
          <w:b/>
          <w:sz w:val="21"/>
          <w:szCs w:val="21"/>
          <w:u w:val="double"/>
          <w:lang w:val="en-US" w:eastAsia="zh-CN"/>
        </w:rPr>
        <w:t>比选申请</w:t>
      </w:r>
      <w:r>
        <w:rPr>
          <w:rFonts w:hint="eastAsia" w:ascii="宋体" w:hAnsi="宋体" w:cs="宋体"/>
          <w:b/>
          <w:sz w:val="21"/>
          <w:szCs w:val="21"/>
          <w:u w:val="double"/>
        </w:rPr>
        <w:t>人单位公章。拟派出项目负责人必须为独立</w:t>
      </w:r>
      <w:r>
        <w:rPr>
          <w:rFonts w:hint="eastAsia" w:cs="宋体"/>
          <w:b/>
          <w:sz w:val="21"/>
          <w:szCs w:val="21"/>
          <w:u w:val="double"/>
          <w:lang w:val="en-US" w:eastAsia="zh-CN"/>
        </w:rPr>
        <w:t>比选申请</w:t>
      </w:r>
      <w:r>
        <w:rPr>
          <w:rFonts w:hint="eastAsia" w:ascii="宋体" w:hAnsi="宋体" w:cs="宋体"/>
          <w:b/>
          <w:sz w:val="21"/>
          <w:szCs w:val="21"/>
          <w:u w:val="double"/>
        </w:rPr>
        <w:t>人的本企业在岗人员，以建造师注册证书上的聘用企业为准。</w:t>
      </w:r>
    </w:p>
    <w:p w14:paraId="590E67FA">
      <w:pPr>
        <w:rPr>
          <w:rFonts w:hint="eastAsia" w:ascii="宋体"/>
          <w:b/>
          <w:color w:val="FF0000"/>
          <w:sz w:val="24"/>
          <w:szCs w:val="24"/>
          <w:highlight w:val="none"/>
          <w:lang w:val="en-US" w:eastAsia="zh-CN"/>
        </w:rPr>
      </w:pPr>
      <w:r>
        <w:rPr>
          <w:rFonts w:hint="eastAsia" w:ascii="宋体" w:hAnsi="宋体" w:cs="宋体"/>
          <w:b/>
          <w:szCs w:val="21"/>
          <w:u w:val="double"/>
        </w:rPr>
        <w:br w:type="page"/>
      </w:r>
      <w:r>
        <w:rPr>
          <w:rFonts w:hint="eastAsia" w:ascii="宋体"/>
          <w:b/>
          <w:bCs w:val="0"/>
          <w:i w:val="0"/>
          <w:iCs w:val="0"/>
          <w:color w:val="auto"/>
          <w:sz w:val="24"/>
          <w:szCs w:val="24"/>
          <w:highlight w:val="none"/>
          <w:lang w:val="en-US" w:eastAsia="zh-CN"/>
        </w:rPr>
        <w:t>1-4.其他证明文件</w:t>
      </w:r>
    </w:p>
    <w:p w14:paraId="7486073A">
      <w:pPr>
        <w:pStyle w:val="7"/>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700F1C5F">
      <w:pPr>
        <w:pStyle w:val="7"/>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B6437C4">
      <w:pPr>
        <w:pStyle w:val="2"/>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1DC70E28">
      <w:pPr>
        <w:pStyle w:val="4"/>
        <w:rPr>
          <w:rFonts w:hint="eastAsia"/>
          <w:b/>
          <w:bCs/>
          <w:sz w:val="24"/>
          <w:szCs w:val="24"/>
          <w:lang w:val="en-US" w:eastAsia="zh-CN"/>
        </w:rPr>
      </w:pPr>
      <w:r>
        <w:rPr>
          <w:rFonts w:hint="eastAsia"/>
          <w:b/>
          <w:bCs/>
          <w:sz w:val="24"/>
          <w:szCs w:val="24"/>
          <w:lang w:val="en-US" w:eastAsia="zh-CN"/>
        </w:rPr>
        <w:t>注：包含但不限于提供：</w:t>
      </w:r>
    </w:p>
    <w:p w14:paraId="3BE358B4">
      <w:pPr>
        <w:pStyle w:val="4"/>
        <w:numPr>
          <w:ilvl w:val="0"/>
          <w:numId w:val="2"/>
        </w:numPr>
        <w:rPr>
          <w:rFonts w:hint="eastAsia"/>
          <w:b/>
          <w:bCs/>
          <w:sz w:val="24"/>
          <w:szCs w:val="24"/>
          <w:lang w:val="en-US" w:eastAsia="zh-CN"/>
        </w:rPr>
      </w:pPr>
      <w:r>
        <w:rPr>
          <w:rFonts w:hint="eastAsia"/>
          <w:b/>
          <w:bCs/>
          <w:sz w:val="24"/>
          <w:szCs w:val="24"/>
          <w:lang w:val="en-US" w:eastAsia="zh-CN"/>
        </w:rPr>
        <w:t>比选申请人或其现任法定代表人未被列入全国失信被执行人名单（需附上网页查询截图）。</w:t>
      </w:r>
      <w:r>
        <w:rPr>
          <w:rFonts w:hint="eastAsia" w:ascii="Times New Roman" w:eastAsia="宋体"/>
          <w:b/>
          <w:bCs/>
          <w:sz w:val="24"/>
          <w:szCs w:val="24"/>
          <w:lang w:val="en-US" w:eastAsia="zh-CN"/>
        </w:rPr>
        <w:t>比选申请人</w:t>
      </w:r>
      <w:r>
        <w:rPr>
          <w:rFonts w:hint="eastAsia"/>
          <w:b/>
          <w:bCs/>
          <w:sz w:val="24"/>
          <w:szCs w:val="24"/>
          <w:lang w:val="en-US" w:eastAsia="zh-CN"/>
        </w:rPr>
        <w:t>须提供在国家企业信用信息公示系统（网址：www.gsxt.gov.cn）查询结果全网页截图并加盖投标人单位公章。</w:t>
      </w:r>
    </w:p>
    <w:p w14:paraId="3E595A54">
      <w:pPr>
        <w:pStyle w:val="4"/>
        <w:numPr>
          <w:ilvl w:val="0"/>
          <w:numId w:val="2"/>
        </w:numPr>
        <w:rPr>
          <w:rFonts w:hint="default"/>
          <w:b/>
          <w:bCs/>
          <w:sz w:val="24"/>
          <w:szCs w:val="24"/>
          <w:lang w:val="en-US" w:eastAsia="zh-CN"/>
        </w:rPr>
      </w:pPr>
      <w:r>
        <w:rPr>
          <w:rFonts w:hint="default"/>
          <w:b/>
          <w:bCs/>
          <w:sz w:val="24"/>
          <w:szCs w:val="24"/>
          <w:lang w:val="en-US" w:eastAsia="zh-CN"/>
        </w:rPr>
        <w:t>比选申请人或其现任法定代表人近三年（自2022年</w:t>
      </w:r>
      <w:r>
        <w:rPr>
          <w:rFonts w:hint="eastAsia" w:ascii="Times New Roman" w:eastAsia="宋体"/>
          <w:b/>
          <w:bCs/>
          <w:sz w:val="24"/>
          <w:szCs w:val="24"/>
          <w:lang w:val="en-US" w:eastAsia="zh-CN"/>
        </w:rPr>
        <w:t>9</w:t>
      </w:r>
      <w:r>
        <w:rPr>
          <w:rFonts w:hint="default"/>
          <w:b/>
          <w:bCs/>
          <w:sz w:val="24"/>
          <w:szCs w:val="24"/>
          <w:lang w:val="en-US" w:eastAsia="zh-CN"/>
        </w:rPr>
        <w:t>月1日至</w:t>
      </w:r>
      <w:r>
        <w:rPr>
          <w:rFonts w:hint="eastAsia"/>
          <w:b/>
          <w:bCs/>
          <w:sz w:val="24"/>
          <w:szCs w:val="24"/>
          <w:lang w:val="en-US" w:eastAsia="zh-CN"/>
        </w:rPr>
        <w:t>比选</w:t>
      </w:r>
      <w:r>
        <w:rPr>
          <w:rFonts w:hint="default"/>
          <w:b/>
          <w:bCs/>
          <w:sz w:val="24"/>
          <w:szCs w:val="24"/>
          <w:lang w:val="en-US" w:eastAsia="zh-CN"/>
        </w:rPr>
        <w:t>截止时间）无行贿犯罪记录（需附上网页查询截图）</w:t>
      </w:r>
      <w:r>
        <w:rPr>
          <w:rFonts w:hint="eastAsia"/>
          <w:b/>
          <w:bCs/>
          <w:sz w:val="24"/>
          <w:szCs w:val="24"/>
          <w:lang w:val="en-US" w:eastAsia="zh-CN"/>
        </w:rPr>
        <w:t>。</w:t>
      </w:r>
      <w:r>
        <w:rPr>
          <w:rFonts w:hint="eastAsia" w:ascii="Times New Roman" w:eastAsia="宋体"/>
          <w:b/>
          <w:bCs/>
          <w:sz w:val="24"/>
          <w:szCs w:val="24"/>
          <w:lang w:val="en-US" w:eastAsia="zh-CN"/>
        </w:rPr>
        <w:t>比选申请人或其现任法定代表人</w:t>
      </w:r>
      <w:r>
        <w:rPr>
          <w:rFonts w:hint="default"/>
          <w:b/>
          <w:bCs/>
          <w:sz w:val="24"/>
          <w:szCs w:val="24"/>
          <w:lang w:val="en-US" w:eastAsia="zh-CN"/>
        </w:rPr>
        <w:t>在中国裁判文书网（网址：http://wenshu.court.gov.cn）查询结果全网页截图并加盖</w:t>
      </w:r>
      <w:r>
        <w:rPr>
          <w:rFonts w:hint="eastAsia" w:ascii="Times New Roman" w:eastAsia="宋体"/>
          <w:b/>
          <w:bCs/>
          <w:sz w:val="24"/>
          <w:szCs w:val="24"/>
          <w:lang w:val="en-US" w:eastAsia="zh-CN"/>
        </w:rPr>
        <w:t>比选申请人</w:t>
      </w:r>
      <w:r>
        <w:rPr>
          <w:rFonts w:hint="default"/>
          <w:b/>
          <w:bCs/>
          <w:sz w:val="24"/>
          <w:szCs w:val="24"/>
          <w:lang w:val="en-US" w:eastAsia="zh-CN"/>
        </w:rPr>
        <w:t>单位公章。</w:t>
      </w:r>
    </w:p>
    <w:p w14:paraId="48C11ECA">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br w:type="page"/>
      </w:r>
    </w:p>
    <w:p w14:paraId="489FA15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4B164F04">
      <w:pPr>
        <w:rPr>
          <w:rFonts w:hint="eastAsia" w:ascii="黑体" w:hAnsi="黑体" w:eastAsia="黑体" w:cs="黑体"/>
          <w:color w:val="auto"/>
          <w:sz w:val="32"/>
          <w:szCs w:val="32"/>
          <w:highlight w:val="none"/>
          <w:shd w:val="clear" w:color="auto" w:fill="FFFFFF"/>
          <w:lang w:eastAsia="zh-CN"/>
        </w:rPr>
      </w:pPr>
    </w:p>
    <w:p w14:paraId="21D53778">
      <w:pPr>
        <w:rPr>
          <w:color w:val="auto"/>
          <w:sz w:val="24"/>
          <w:szCs w:val="24"/>
          <w:highlight w:val="none"/>
          <w:u w:val="none"/>
        </w:rPr>
      </w:pPr>
    </w:p>
    <w:p w14:paraId="24E282FB">
      <w:pPr>
        <w:pStyle w:val="7"/>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8"/>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kern w:val="0"/>
                <w:sz w:val="24"/>
                <w:szCs w:val="24"/>
                <w:lang w:val="en-US" w:eastAsia="zh-CN" w:bidi="ar-SA"/>
              </w:rPr>
            </w:pP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报</w:t>
            </w:r>
            <w:r>
              <w:rPr>
                <w:rFonts w:hint="eastAsia" w:ascii="宋体" w:hAnsi="宋体" w:eastAsia="宋体" w:cs="宋体"/>
                <w:color w:val="auto"/>
                <w:kern w:val="0"/>
                <w:sz w:val="24"/>
                <w:szCs w:val="24"/>
                <w:lang w:val="en-US" w:eastAsia="zh-CN" w:bidi="ar-SA"/>
              </w:rPr>
              <w:t>价（含税）</w:t>
            </w:r>
          </w:p>
        </w:tc>
        <w:tc>
          <w:tcPr>
            <w:tcW w:w="5997" w:type="dxa"/>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left"/>
              <w:rPr>
                <w:rFonts w:hint="eastAsia" w:ascii="宋体" w:hAnsi="宋体" w:eastAsia="宋体" w:cs="宋体"/>
                <w:kern w:val="0"/>
                <w:sz w:val="24"/>
                <w:szCs w:val="24"/>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w:t>
            </w:r>
            <w:r>
              <w:rPr>
                <w:rFonts w:hint="eastAsia" w:ascii="宋体" w:hAnsi="宋体"/>
                <w:color w:val="auto"/>
                <w:sz w:val="24"/>
                <w:highlight w:val="none"/>
                <w:lang w:val="en-US" w:eastAsia="zh-CN"/>
              </w:rPr>
              <w:t>/年</w:t>
            </w:r>
            <w:r>
              <w:rPr>
                <w:rFonts w:hint="eastAsia" w:ascii="宋体" w:hAnsi="宋体"/>
                <w:color w:val="auto"/>
                <w:sz w:val="24"/>
                <w:highlight w:val="none"/>
              </w:rPr>
              <w:t>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自合同签订之日起3年</w:t>
            </w: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kern w:val="0"/>
                <w:sz w:val="24"/>
                <w:szCs w:val="24"/>
                <w:lang w:val="en-US" w:eastAsia="zh-CN" w:bidi="ar-SA"/>
              </w:rPr>
            </w:pPr>
          </w:p>
        </w:tc>
      </w:tr>
    </w:tbl>
    <w:p w14:paraId="009A090F">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14:paraId="304A3E0F">
      <w:pPr>
        <w:pStyle w:val="7"/>
        <w:spacing w:before="0" w:beforeAutospacing="0" w:after="0" w:afterAutospacing="0" w:line="480" w:lineRule="auto"/>
        <w:ind w:firstLine="640"/>
        <w:jc w:val="both"/>
        <w:rPr>
          <w:color w:val="auto"/>
          <w:highlight w:val="none"/>
        </w:rPr>
      </w:pPr>
    </w:p>
    <w:p w14:paraId="583E0FF6">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4"/>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14:paraId="4A425465">
      <w:pPr>
        <w:pStyle w:val="4"/>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03BF8447">
      <w:bookmarkStart w:id="113" w:name="_GoBack"/>
      <w:bookmarkEnd w:id="1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5"/>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A6C37"/>
    <w:multiLevelType w:val="singleLevel"/>
    <w:tmpl w:val="A6DA6C37"/>
    <w:lvl w:ilvl="0" w:tentative="0">
      <w:start w:val="1"/>
      <w:numFmt w:val="decimal"/>
      <w:lvlText w:val="%1."/>
      <w:lvlJc w:val="left"/>
      <w:pPr>
        <w:tabs>
          <w:tab w:val="left" w:pos="312"/>
        </w:tabs>
      </w:pPr>
    </w:lvl>
  </w:abstractNum>
  <w:abstractNum w:abstractNumId="1">
    <w:nsid w:val="B5019810"/>
    <w:multiLevelType w:val="singleLevel"/>
    <w:tmpl w:val="B5019810"/>
    <w:lvl w:ilvl="0" w:tentative="0">
      <w:start w:val="2"/>
      <w:numFmt w:val="decimal"/>
      <w:suff w:val="nothing"/>
      <w:lvlText w:val="（%1）"/>
      <w:lvlJc w:val="left"/>
    </w:lvl>
  </w:abstractNum>
  <w:abstractNum w:abstractNumId="2">
    <w:nsid w:val="7890FB22"/>
    <w:multiLevelType w:val="singleLevel"/>
    <w:tmpl w:val="7890FB22"/>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C96C6E"/>
    <w:rsid w:val="001D2941"/>
    <w:rsid w:val="04C96C6E"/>
    <w:rsid w:val="051B5D5C"/>
    <w:rsid w:val="07FA48EB"/>
    <w:rsid w:val="08813484"/>
    <w:rsid w:val="0AD15767"/>
    <w:rsid w:val="0C696775"/>
    <w:rsid w:val="0E9B5C68"/>
    <w:rsid w:val="10A13C1E"/>
    <w:rsid w:val="1149296F"/>
    <w:rsid w:val="13435C52"/>
    <w:rsid w:val="138111A4"/>
    <w:rsid w:val="14721286"/>
    <w:rsid w:val="16572359"/>
    <w:rsid w:val="199118B3"/>
    <w:rsid w:val="1A286F50"/>
    <w:rsid w:val="1B8516E3"/>
    <w:rsid w:val="1BF37098"/>
    <w:rsid w:val="1C213D5F"/>
    <w:rsid w:val="1CAE19A9"/>
    <w:rsid w:val="1E004533"/>
    <w:rsid w:val="204207E1"/>
    <w:rsid w:val="21F5782B"/>
    <w:rsid w:val="276E62C6"/>
    <w:rsid w:val="2C4F478E"/>
    <w:rsid w:val="2FA726E8"/>
    <w:rsid w:val="2FF938DD"/>
    <w:rsid w:val="325C05D5"/>
    <w:rsid w:val="33917BE6"/>
    <w:rsid w:val="36A074F7"/>
    <w:rsid w:val="378C2722"/>
    <w:rsid w:val="38D414A9"/>
    <w:rsid w:val="391A35B8"/>
    <w:rsid w:val="3CA470BE"/>
    <w:rsid w:val="3FA534A9"/>
    <w:rsid w:val="422C581F"/>
    <w:rsid w:val="44DE2B26"/>
    <w:rsid w:val="49385984"/>
    <w:rsid w:val="549A3C1D"/>
    <w:rsid w:val="58FE2FA1"/>
    <w:rsid w:val="59C42BEB"/>
    <w:rsid w:val="5AED5C88"/>
    <w:rsid w:val="5B165439"/>
    <w:rsid w:val="5D275002"/>
    <w:rsid w:val="5EB9765E"/>
    <w:rsid w:val="5EEF0B39"/>
    <w:rsid w:val="60447537"/>
    <w:rsid w:val="62DE6A8D"/>
    <w:rsid w:val="664B60ED"/>
    <w:rsid w:val="69365695"/>
    <w:rsid w:val="6B8542F6"/>
    <w:rsid w:val="6B907733"/>
    <w:rsid w:val="6FA75832"/>
    <w:rsid w:val="73145CED"/>
    <w:rsid w:val="73BA52CD"/>
    <w:rsid w:val="74916507"/>
    <w:rsid w:val="74DE0C00"/>
    <w:rsid w:val="76465513"/>
    <w:rsid w:val="76822882"/>
    <w:rsid w:val="7A012E7A"/>
    <w:rsid w:val="7AAA1D8C"/>
    <w:rsid w:val="7AF453C3"/>
    <w:rsid w:val="7CBD1FD2"/>
    <w:rsid w:val="7CD32638"/>
    <w:rsid w:val="7DFA5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line="415" w:lineRule="auto"/>
      <w:outlineLvl w:val="1"/>
    </w:pPr>
    <w:rPr>
      <w:rFonts w:ascii="Arial" w:hAnsi="Arial" w:eastAsia="黑体"/>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0">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2025-09-26T08:05:00Z</dcterms:created>
  <dc:creator>爬</dc:creator>
  <cp:lastModifiedBy>爬</cp:lastModifiedBy>
  <dcterms:modified xsi:type="dcterms:W3CDTF">2025-09-26T08:05:44Z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143FB6187AC5447C959002E701CBE918_11</vt:lpwstr>
  </property>
  <property fmtid="{D5CDD505-2E9C-101B-9397-08002B2CF9AE}" pid="4" name="KSOTemplateDocerSaveRecord">
    <vt:lpwstr>eyJoZGlkIjoiY2QyMWZmZWRjMmRkOGNlMGI5NDcyN2EyOGNmOWFjNjciLCJ1c2VySWQiOiI0MDg2OTk1MTEifQ==</vt:lpwstr>
  </property>
</Properties>
</file>