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105FCA7">
      <w:pPr>
        <w:pStyle w:val="15"/>
        <w:keepNext w:val="0"/>
        <w:keepLines w:val="0"/>
        <w:pageBreakBefore w:val="0"/>
        <w:kinsoku/>
        <w:wordWrap/>
        <w:overflowPunct/>
        <w:topLinePunct w:val="0"/>
        <w:autoSpaceDE/>
        <w:autoSpaceDN/>
        <w:bidi w:val="0"/>
        <w:adjustRightInd/>
        <w:snapToGrid/>
        <w:spacing w:before="0" w:beforeAutospacing="0" w:after="0" w:afterAutospacing="0" w:line="560" w:lineRule="exact"/>
        <w:jc w:val="center"/>
        <w:textAlignment w:val="auto"/>
        <w:rPr>
          <w:color w:val="auto"/>
        </w:rPr>
      </w:pPr>
      <w:r>
        <w:rPr>
          <w:rFonts w:hint="eastAsia" w:ascii="黑体" w:hAnsi="黑体" w:eastAsia="黑体" w:cs="黑体"/>
          <w:bCs/>
          <w:color w:val="auto"/>
          <w:sz w:val="32"/>
          <w:szCs w:val="32"/>
          <w:lang w:val="en-US" w:eastAsia="zh-CN"/>
        </w:rPr>
        <w:t>金澜湾展厅</w:t>
      </w:r>
      <w:r>
        <w:rPr>
          <w:rFonts w:hint="eastAsia" w:ascii="黑体" w:hAnsi="黑体" w:eastAsia="黑体" w:cs="黑体"/>
          <w:bCs/>
          <w:color w:val="auto"/>
          <w:sz w:val="32"/>
          <w:szCs w:val="32"/>
          <w:lang w:eastAsia="zh-CN"/>
        </w:rPr>
        <w:t>智能化工程施工</w:t>
      </w:r>
      <w:r>
        <w:rPr>
          <w:rFonts w:hint="eastAsia" w:ascii="黑体" w:hAnsi="黑体" w:eastAsia="黑体" w:cs="黑体"/>
          <w:bCs/>
          <w:color w:val="auto"/>
          <w:sz w:val="32"/>
          <w:szCs w:val="32"/>
        </w:rPr>
        <w:t>比选</w:t>
      </w:r>
      <w:r>
        <w:rPr>
          <w:rFonts w:hint="eastAsia" w:ascii="黑体" w:hAnsi="黑体" w:eastAsia="黑体" w:cs="黑体"/>
          <w:bCs/>
          <w:color w:val="auto"/>
          <w:sz w:val="32"/>
          <w:szCs w:val="32"/>
          <w:lang w:eastAsia="zh-CN"/>
        </w:rPr>
        <w:t>公告</w:t>
      </w:r>
    </w:p>
    <w:p w14:paraId="2241F7D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lang w:val="en-US" w:eastAsia="zh-CN"/>
        </w:rPr>
        <w:t xml:space="preserve">    </w:t>
      </w:r>
      <w:r>
        <w:rPr>
          <w:rFonts w:hint="eastAsia" w:cs="宋体"/>
          <w:color w:val="auto"/>
          <w:sz w:val="24"/>
          <w:szCs w:val="24"/>
          <w:highlight w:val="none"/>
          <w:u w:val="single"/>
          <w:lang w:val="en-US" w:eastAsia="zh-CN"/>
        </w:rPr>
        <w:t>金澜湾展厅</w:t>
      </w:r>
      <w:r>
        <w:rPr>
          <w:rFonts w:hint="eastAsia" w:ascii="宋体" w:hAnsi="宋体" w:eastAsia="宋体" w:cs="宋体"/>
          <w:color w:val="auto"/>
          <w:sz w:val="24"/>
          <w:szCs w:val="24"/>
          <w:u w:val="single"/>
          <w:lang w:eastAsia="zh-CN"/>
        </w:rPr>
        <w:t>智能化工程施工</w:t>
      </w:r>
      <w:r>
        <w:rPr>
          <w:rFonts w:hint="eastAsia" w:ascii="宋体" w:hAnsi="宋体" w:eastAsia="宋体" w:cs="宋体"/>
          <w:color w:val="auto"/>
          <w:sz w:val="24"/>
          <w:szCs w:val="24"/>
        </w:rPr>
        <w:t>拟通过</w:t>
      </w:r>
      <w:r>
        <w:rPr>
          <w:rFonts w:hint="eastAsia" w:ascii="宋体" w:hAnsi="宋体" w:eastAsia="宋体" w:cs="宋体"/>
          <w:color w:val="auto"/>
          <w:sz w:val="24"/>
          <w:szCs w:val="24"/>
          <w:lang w:val="en-US" w:eastAsia="zh-CN"/>
        </w:rPr>
        <w:t>公开</w:t>
      </w:r>
      <w:r>
        <w:rPr>
          <w:rFonts w:hint="eastAsia" w:ascii="宋体" w:hAnsi="宋体" w:eastAsia="宋体" w:cs="宋体"/>
          <w:color w:val="auto"/>
          <w:sz w:val="24"/>
          <w:szCs w:val="24"/>
        </w:rPr>
        <w:t>比选</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rPr>
        <w:t>方式确定</w:t>
      </w:r>
      <w:r>
        <w:rPr>
          <w:rFonts w:hint="eastAsia" w:ascii="宋体" w:hAnsi="宋体" w:eastAsia="宋体" w:cs="宋体"/>
          <w:color w:val="auto"/>
          <w:sz w:val="24"/>
          <w:szCs w:val="24"/>
          <w:u w:val="none"/>
          <w:lang w:eastAsia="zh-CN"/>
        </w:rPr>
        <w:t>服务</w:t>
      </w:r>
      <w:r>
        <w:rPr>
          <w:rFonts w:hint="eastAsia" w:ascii="宋体" w:hAnsi="宋体" w:eastAsia="宋体" w:cs="宋体"/>
          <w:color w:val="auto"/>
          <w:sz w:val="24"/>
          <w:szCs w:val="24"/>
        </w:rPr>
        <w:t>单位，比选活动由</w:t>
      </w:r>
      <w:r>
        <w:rPr>
          <w:rFonts w:hint="eastAsia" w:ascii="宋体" w:hAnsi="宋体" w:eastAsia="宋体" w:cs="宋体"/>
          <w:color w:val="auto"/>
          <w:sz w:val="24"/>
          <w:szCs w:val="24"/>
          <w:u w:val="single"/>
          <w:lang w:eastAsia="zh-CN"/>
        </w:rPr>
        <w:t>三明城发居敬康养产业发展有限公司</w:t>
      </w:r>
      <w:r>
        <w:rPr>
          <w:rFonts w:hint="eastAsia" w:ascii="宋体" w:hAnsi="宋体" w:eastAsia="宋体" w:cs="宋体"/>
          <w:color w:val="auto"/>
          <w:sz w:val="24"/>
          <w:szCs w:val="24"/>
        </w:rPr>
        <w:t>主持</w:t>
      </w:r>
      <w:r>
        <w:rPr>
          <w:rFonts w:hint="eastAsia" w:ascii="宋体" w:hAnsi="宋体" w:eastAsia="宋体" w:cs="宋体"/>
          <w:color w:val="auto"/>
          <w:sz w:val="24"/>
          <w:szCs w:val="24"/>
          <w:lang w:eastAsia="zh-CN"/>
        </w:rPr>
        <w:t>。具体内容如下：</w:t>
      </w:r>
    </w:p>
    <w:p w14:paraId="0C5CD9F0">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b/>
          <w:bCs/>
          <w:color w:val="auto"/>
        </w:rPr>
      </w:pPr>
      <w:r>
        <w:rPr>
          <w:rFonts w:hint="eastAsia"/>
          <w:b/>
          <w:bCs/>
          <w:color w:val="auto"/>
        </w:rPr>
        <w:t>一、比选项目概况</w:t>
      </w:r>
    </w:p>
    <w:p w14:paraId="24E812D6">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color w:val="auto"/>
          <w:u w:val="single"/>
        </w:rPr>
      </w:pPr>
      <w:r>
        <w:rPr>
          <w:rFonts w:hint="eastAsia"/>
          <w:color w:val="auto"/>
        </w:rPr>
        <w:t>1.</w:t>
      </w:r>
      <w:r>
        <w:rPr>
          <w:rFonts w:hint="eastAsia"/>
          <w:color w:val="auto"/>
          <w:lang w:eastAsia="zh-CN"/>
        </w:rPr>
        <w:t>比选</w:t>
      </w:r>
      <w:r>
        <w:rPr>
          <w:rFonts w:hint="eastAsia"/>
          <w:color w:val="auto"/>
        </w:rPr>
        <w:t>项目名称：</w:t>
      </w:r>
      <w:r>
        <w:rPr>
          <w:rFonts w:hint="eastAsia" w:cs="宋体"/>
          <w:color w:val="auto"/>
          <w:sz w:val="24"/>
          <w:szCs w:val="24"/>
          <w:highlight w:val="none"/>
          <w:u w:val="none"/>
          <w:lang w:val="en-US" w:eastAsia="zh-CN"/>
        </w:rPr>
        <w:t>金澜湾展厅</w:t>
      </w:r>
      <w:r>
        <w:rPr>
          <w:rFonts w:hint="eastAsia"/>
          <w:color w:val="auto"/>
          <w:sz w:val="24"/>
          <w:szCs w:val="24"/>
          <w:u w:val="none"/>
          <w:lang w:eastAsia="zh-CN"/>
        </w:rPr>
        <w:t>智能化工程施工</w:t>
      </w:r>
    </w:p>
    <w:p w14:paraId="62A95530">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eastAsia="宋体"/>
          <w:color w:val="auto"/>
          <w:lang w:eastAsia="zh-CN"/>
        </w:rPr>
      </w:pPr>
      <w:r>
        <w:rPr>
          <w:rFonts w:hint="eastAsia"/>
          <w:color w:val="auto"/>
        </w:rPr>
        <w:t>2.比选人名称：</w:t>
      </w:r>
      <w:r>
        <w:rPr>
          <w:rFonts w:hint="eastAsia"/>
          <w:color w:val="auto"/>
          <w:lang w:eastAsia="zh-CN"/>
        </w:rPr>
        <w:t>三明城发居敬康养产业发展有限公司</w:t>
      </w:r>
    </w:p>
    <w:p w14:paraId="1586B777">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eastAsia="宋体"/>
          <w:color w:val="auto"/>
          <w:lang w:eastAsia="zh-CN"/>
        </w:rPr>
      </w:pPr>
      <w:r>
        <w:rPr>
          <w:rFonts w:hint="eastAsia"/>
          <w:color w:val="auto"/>
        </w:rPr>
        <w:t>3.</w:t>
      </w:r>
      <w:r>
        <w:rPr>
          <w:rFonts w:hint="eastAsia"/>
          <w:color w:val="auto"/>
          <w:lang w:eastAsia="zh-CN"/>
        </w:rPr>
        <w:t>项目地址：三明市三元区东乾三路397号金澜湾21幢</w:t>
      </w:r>
    </w:p>
    <w:p w14:paraId="127BB7C2">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color w:val="auto"/>
          <w:lang w:val="en-US" w:eastAsia="zh-CN"/>
        </w:rPr>
      </w:pPr>
      <w:r>
        <w:rPr>
          <w:rFonts w:hint="eastAsia"/>
          <w:color w:val="auto"/>
          <w:lang w:val="en-US" w:eastAsia="zh-CN"/>
        </w:rPr>
        <w:t>4.项目规模：具体以清单及发包人要求为准。</w:t>
      </w:r>
    </w:p>
    <w:p w14:paraId="6627A498">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eastAsia="宋体"/>
          <w:color w:val="auto"/>
          <w:lang w:val="en-US" w:eastAsia="zh-CN"/>
        </w:rPr>
      </w:pPr>
      <w:r>
        <w:rPr>
          <w:rFonts w:hint="eastAsia"/>
          <w:color w:val="auto"/>
          <w:lang w:val="en-US" w:eastAsia="zh-CN"/>
        </w:rPr>
        <w:t>5.控制价：最高控制价169315</w:t>
      </w:r>
      <w:r>
        <w:rPr>
          <w:rFonts w:hint="eastAsia"/>
          <w:color w:val="auto"/>
        </w:rPr>
        <w:t>元</w:t>
      </w:r>
      <w:r>
        <w:rPr>
          <w:rFonts w:hint="eastAsia"/>
          <w:color w:val="auto"/>
          <w:lang w:eastAsia="zh-CN"/>
        </w:rPr>
        <w:t>（</w:t>
      </w:r>
      <w:r>
        <w:rPr>
          <w:rFonts w:hint="eastAsia"/>
          <w:color w:val="auto"/>
          <w:lang w:val="en-US" w:eastAsia="zh-CN"/>
        </w:rPr>
        <w:t>不含税</w:t>
      </w:r>
      <w:r>
        <w:rPr>
          <w:rFonts w:hint="eastAsia"/>
          <w:color w:val="auto"/>
          <w:lang w:eastAsia="zh-CN"/>
        </w:rPr>
        <w:t>）。</w:t>
      </w:r>
    </w:p>
    <w:p w14:paraId="3CCCE35E">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color w:val="auto"/>
          <w:u w:val="single"/>
        </w:rPr>
      </w:pPr>
      <w:r>
        <w:rPr>
          <w:rFonts w:hint="eastAsia"/>
          <w:color w:val="auto"/>
          <w:lang w:val="en-US" w:eastAsia="zh-CN"/>
        </w:rPr>
        <w:t>6.工期</w:t>
      </w:r>
      <w:r>
        <w:rPr>
          <w:rFonts w:hint="eastAsia"/>
          <w:color w:val="auto"/>
        </w:rPr>
        <w:t>：</w:t>
      </w:r>
      <w:r>
        <w:rPr>
          <w:rFonts w:hint="eastAsia"/>
          <w:color w:val="auto"/>
          <w:lang w:val="en-US" w:eastAsia="zh-CN"/>
        </w:rPr>
        <w:t>20日历</w:t>
      </w:r>
      <w:r>
        <w:rPr>
          <w:rFonts w:hint="eastAsia"/>
          <w:b w:val="0"/>
          <w:bCs w:val="0"/>
          <w:color w:val="auto"/>
          <w:lang w:val="en-US" w:eastAsia="zh-CN"/>
        </w:rPr>
        <w:t>天，从接到比选人通知之日起计算</w:t>
      </w:r>
      <w:r>
        <w:rPr>
          <w:rFonts w:hint="eastAsia"/>
          <w:b w:val="0"/>
          <w:bCs w:val="0"/>
          <w:color w:val="auto"/>
          <w:lang w:eastAsia="zh-CN"/>
        </w:rPr>
        <w:t>。</w:t>
      </w:r>
    </w:p>
    <w:p w14:paraId="41153ACA">
      <w:pPr>
        <w:pStyle w:val="1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b/>
          <w:bCs/>
          <w:color w:val="auto"/>
        </w:rPr>
      </w:pPr>
      <w:r>
        <w:rPr>
          <w:rFonts w:hint="eastAsia"/>
          <w:b/>
          <w:bCs/>
          <w:color w:val="auto"/>
        </w:rPr>
        <w:t>比选内容</w:t>
      </w:r>
    </w:p>
    <w:p w14:paraId="3FC867CD">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eastAsia="宋体"/>
          <w:b w:val="0"/>
          <w:bCs w:val="0"/>
          <w:color w:val="auto"/>
          <w:lang w:eastAsia="zh-CN"/>
        </w:rPr>
      </w:pPr>
      <w:r>
        <w:rPr>
          <w:rFonts w:hint="eastAsia"/>
          <w:b w:val="0"/>
          <w:bCs w:val="0"/>
          <w:color w:val="auto"/>
          <w:lang w:eastAsia="zh-CN"/>
        </w:rPr>
        <w:t>本比选项目</w:t>
      </w:r>
      <w:r>
        <w:rPr>
          <w:rFonts w:hint="eastAsia"/>
          <w:b w:val="0"/>
          <w:bCs w:val="0"/>
          <w:color w:val="auto"/>
          <w:lang w:val="en-US" w:eastAsia="zh-CN"/>
        </w:rPr>
        <w:t>内容</w:t>
      </w:r>
      <w:r>
        <w:rPr>
          <w:rFonts w:hint="eastAsia"/>
          <w:b w:val="0"/>
          <w:bCs w:val="0"/>
          <w:color w:val="auto"/>
          <w:u w:val="none"/>
          <w:lang w:val="en-US" w:eastAsia="zh-CN"/>
        </w:rPr>
        <w:t>为</w:t>
      </w:r>
      <w:r>
        <w:rPr>
          <w:rFonts w:hint="eastAsia" w:cs="宋体"/>
          <w:color w:val="auto"/>
          <w:sz w:val="24"/>
          <w:szCs w:val="24"/>
          <w:highlight w:val="none"/>
          <w:u w:val="none"/>
          <w:lang w:val="en-US" w:eastAsia="zh-CN"/>
        </w:rPr>
        <w:t>金澜湾展厅</w:t>
      </w:r>
      <w:r>
        <w:rPr>
          <w:rFonts w:hint="eastAsia"/>
          <w:b w:val="0"/>
          <w:bCs w:val="0"/>
          <w:color w:val="auto"/>
          <w:lang w:eastAsia="zh-CN"/>
        </w:rPr>
        <w:t>智能化工程施工</w:t>
      </w:r>
      <w:r>
        <w:rPr>
          <w:rFonts w:hint="eastAsia"/>
          <w:b w:val="0"/>
          <w:bCs w:val="0"/>
          <w:color w:val="auto"/>
        </w:rPr>
        <w:t>，具体以</w:t>
      </w:r>
      <w:r>
        <w:rPr>
          <w:rFonts w:hint="eastAsia"/>
          <w:b w:val="0"/>
          <w:bCs w:val="0"/>
          <w:color w:val="auto"/>
          <w:lang w:eastAsia="zh-CN"/>
        </w:rPr>
        <w:t>比选人</w:t>
      </w:r>
      <w:r>
        <w:rPr>
          <w:rFonts w:hint="eastAsia"/>
          <w:b w:val="0"/>
          <w:bCs w:val="0"/>
          <w:color w:val="auto"/>
        </w:rPr>
        <w:t>下达的通知及</w:t>
      </w:r>
      <w:r>
        <w:rPr>
          <w:rFonts w:hint="eastAsia"/>
          <w:b w:val="0"/>
          <w:bCs w:val="0"/>
          <w:color w:val="auto"/>
          <w:lang w:val="en-US" w:eastAsia="zh-CN"/>
        </w:rPr>
        <w:t>清单</w:t>
      </w:r>
      <w:r>
        <w:rPr>
          <w:rFonts w:hint="eastAsia"/>
          <w:b w:val="0"/>
          <w:bCs w:val="0"/>
          <w:color w:val="auto"/>
        </w:rPr>
        <w:t>为准</w:t>
      </w:r>
      <w:r>
        <w:rPr>
          <w:rFonts w:hint="eastAsia"/>
          <w:b w:val="0"/>
          <w:bCs w:val="0"/>
          <w:color w:val="auto"/>
          <w:lang w:eastAsia="zh-CN"/>
        </w:rPr>
        <w:t>。</w:t>
      </w:r>
    </w:p>
    <w:p w14:paraId="366A2D90">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b/>
          <w:bCs/>
          <w:color w:val="auto"/>
        </w:rPr>
      </w:pPr>
      <w:r>
        <w:rPr>
          <w:rFonts w:hint="eastAsia"/>
          <w:b/>
          <w:bCs/>
          <w:color w:val="auto"/>
        </w:rPr>
        <w:t>三、费用</w:t>
      </w:r>
    </w:p>
    <w:p w14:paraId="7432A053">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b w:val="0"/>
          <w:bCs w:val="0"/>
          <w:color w:val="auto"/>
        </w:rPr>
      </w:pPr>
      <w:r>
        <w:rPr>
          <w:rFonts w:hint="eastAsia" w:cs="Times New Roman"/>
          <w:color w:val="auto"/>
          <w:lang w:val="en-US" w:eastAsia="zh-CN"/>
        </w:rPr>
        <w:t>本项目最高控制价169315元（不含税）。增值税税金按中选人提供的增值税发票按实计取。</w:t>
      </w:r>
    </w:p>
    <w:p w14:paraId="61DF0C78">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40"/>
        <w:jc w:val="both"/>
        <w:textAlignment w:val="auto"/>
        <w:rPr>
          <w:b/>
          <w:bCs/>
          <w:color w:val="auto"/>
        </w:rPr>
      </w:pPr>
      <w:r>
        <w:rPr>
          <w:rFonts w:hint="eastAsia"/>
          <w:b/>
          <w:bCs/>
          <w:color w:val="auto"/>
        </w:rPr>
        <w:t xml:space="preserve">四、参选单位的资格条件 </w:t>
      </w:r>
    </w:p>
    <w:p w14:paraId="61D15FB3">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40"/>
        <w:jc w:val="both"/>
        <w:textAlignment w:val="auto"/>
        <w:rPr>
          <w:rFonts w:hint="eastAsia"/>
          <w:color w:val="auto"/>
        </w:rPr>
      </w:pPr>
      <w:r>
        <w:rPr>
          <w:rFonts w:hint="eastAsia"/>
          <w:color w:val="auto"/>
        </w:rPr>
        <w:t>1.参选单位须具有独立</w:t>
      </w:r>
      <w:r>
        <w:rPr>
          <w:rFonts w:hint="eastAsia"/>
          <w:color w:val="auto"/>
          <w:lang w:val="en-US" w:eastAsia="zh-CN"/>
        </w:rPr>
        <w:t>企业</w:t>
      </w:r>
      <w:r>
        <w:rPr>
          <w:rFonts w:hint="eastAsia"/>
          <w:color w:val="auto"/>
        </w:rPr>
        <w:t>法人资格及合格有效的营业执照；</w:t>
      </w:r>
    </w:p>
    <w:p w14:paraId="798D7E72">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40"/>
        <w:jc w:val="both"/>
        <w:textAlignment w:val="auto"/>
        <w:rPr>
          <w:rFonts w:hint="eastAsia"/>
          <w:color w:val="auto"/>
          <w:lang w:val="en-US" w:eastAsia="zh-CN"/>
        </w:rPr>
      </w:pPr>
      <w:r>
        <w:rPr>
          <w:rFonts w:hint="eastAsia"/>
          <w:color w:val="auto"/>
          <w:lang w:val="en-US" w:eastAsia="zh-CN"/>
        </w:rPr>
        <w:t>2.比选申请人或比选申请人拟派出的人员未被依法禁止投标、未存在财产被冻结或接管的情况或处于从业限制期限内、未被人民法院列为“失信被执行人”（全国法院失信被执行人名单信息公布与查询平台（网址：shixin.court.gov.cn））、未</w:t>
      </w:r>
      <w:r>
        <w:rPr>
          <w:rFonts w:hint="eastAsia"/>
          <w:b w:val="0"/>
          <w:bCs w:val="0"/>
          <w:color w:val="auto"/>
        </w:rPr>
        <w:t>被工商行政管理机关列</w:t>
      </w:r>
      <w:r>
        <w:rPr>
          <w:rFonts w:hint="eastAsia"/>
          <w:b w:val="0"/>
          <w:bCs w:val="0"/>
          <w:color w:val="auto"/>
          <w:lang w:val="en-US" w:eastAsia="zh-CN"/>
        </w:rPr>
        <w:t>入</w:t>
      </w:r>
      <w:r>
        <w:rPr>
          <w:rFonts w:hint="eastAsia"/>
          <w:b w:val="0"/>
          <w:bCs w:val="0"/>
          <w:color w:val="auto"/>
        </w:rPr>
        <w:t>“严重违法失信企业名单”</w:t>
      </w:r>
      <w:r>
        <w:rPr>
          <w:rFonts w:hint="eastAsia"/>
          <w:b w:val="0"/>
          <w:bCs w:val="0"/>
          <w:color w:val="auto"/>
          <w:lang w:eastAsia="zh-CN"/>
        </w:rPr>
        <w:t>（</w:t>
      </w:r>
      <w:r>
        <w:rPr>
          <w:rFonts w:hint="eastAsia"/>
          <w:b w:val="0"/>
          <w:bCs w:val="0"/>
          <w:color w:val="auto"/>
        </w:rPr>
        <w:t>全国企业信用信息公示系统</w:t>
      </w:r>
      <w:r>
        <w:rPr>
          <w:rFonts w:hint="eastAsia"/>
          <w:b w:val="0"/>
          <w:bCs w:val="0"/>
          <w:color w:val="auto"/>
          <w:lang w:val="en-US" w:eastAsia="zh-CN"/>
        </w:rPr>
        <w:t>查询</w:t>
      </w:r>
      <w:r>
        <w:rPr>
          <w:rFonts w:hint="eastAsia"/>
          <w:b w:val="0"/>
          <w:bCs w:val="0"/>
          <w:color w:val="auto"/>
        </w:rPr>
        <w:t>（网址：www.gsxt.gov.cn）</w:t>
      </w:r>
      <w:r>
        <w:rPr>
          <w:rFonts w:hint="eastAsia"/>
          <w:b w:val="0"/>
          <w:bCs w:val="0"/>
          <w:color w:val="auto"/>
          <w:lang w:eastAsia="zh-CN"/>
        </w:rPr>
        <w:t>）</w:t>
      </w:r>
      <w:r>
        <w:rPr>
          <w:rFonts w:hint="eastAsia"/>
          <w:color w:val="auto"/>
          <w:lang w:val="en-US" w:eastAsia="zh-CN"/>
        </w:rPr>
        <w:t>；</w:t>
      </w:r>
    </w:p>
    <w:p w14:paraId="3EED457B">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40"/>
        <w:jc w:val="both"/>
        <w:textAlignment w:val="auto"/>
        <w:rPr>
          <w:rFonts w:hint="default" w:eastAsia="宋体"/>
          <w:color w:val="auto"/>
          <w:lang w:val="en-US" w:eastAsia="zh-CN"/>
        </w:rPr>
      </w:pPr>
      <w:r>
        <w:rPr>
          <w:rFonts w:hint="eastAsia"/>
          <w:color w:val="auto"/>
          <w:lang w:val="en-US" w:eastAsia="zh-CN"/>
        </w:rPr>
        <w:t>7.参选单位须在本比选公告规定的方式、时间和地点提交比选申请材料。</w:t>
      </w:r>
    </w:p>
    <w:p w14:paraId="3C4034FB">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b/>
          <w:bCs/>
          <w:color w:val="auto"/>
        </w:rPr>
      </w:pPr>
      <w:r>
        <w:rPr>
          <w:rFonts w:hint="eastAsia"/>
          <w:b/>
          <w:bCs/>
          <w:color w:val="auto"/>
        </w:rPr>
        <w:t>五、比选活动的时间、地点和联系方式</w:t>
      </w:r>
    </w:p>
    <w:p w14:paraId="3C597F16">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color w:val="auto"/>
        </w:rPr>
      </w:pPr>
      <w:r>
        <w:rPr>
          <w:rFonts w:hint="eastAsia"/>
          <w:color w:val="auto"/>
        </w:rPr>
        <w:t>1．比选时间：202</w:t>
      </w:r>
      <w:r>
        <w:rPr>
          <w:rFonts w:hint="eastAsia"/>
          <w:color w:val="auto"/>
          <w:lang w:val="en-US" w:eastAsia="zh-CN"/>
        </w:rPr>
        <w:t>5</w:t>
      </w:r>
      <w:r>
        <w:rPr>
          <w:rFonts w:hint="eastAsia"/>
          <w:color w:val="auto"/>
        </w:rPr>
        <w:t>年</w:t>
      </w:r>
      <w:r>
        <w:rPr>
          <w:rFonts w:hint="eastAsia"/>
          <w:color w:val="auto"/>
          <w:lang w:val="en-US" w:eastAsia="zh-CN"/>
        </w:rPr>
        <w:t>8</w:t>
      </w:r>
      <w:r>
        <w:rPr>
          <w:rFonts w:hint="eastAsia"/>
          <w:color w:val="auto"/>
        </w:rPr>
        <w:t>月</w:t>
      </w:r>
      <w:r>
        <w:rPr>
          <w:rFonts w:hint="eastAsia"/>
          <w:color w:val="auto"/>
          <w:lang w:val="en-US" w:eastAsia="zh-CN"/>
        </w:rPr>
        <w:t>5</w:t>
      </w:r>
      <w:r>
        <w:rPr>
          <w:rFonts w:hint="eastAsia"/>
          <w:color w:val="auto"/>
        </w:rPr>
        <w:t>日</w:t>
      </w:r>
      <w:r>
        <w:rPr>
          <w:rFonts w:hint="eastAsia"/>
          <w:color w:val="auto"/>
          <w:lang w:val="en-US" w:eastAsia="zh-CN"/>
        </w:rPr>
        <w:t>10</w:t>
      </w:r>
      <w:r>
        <w:rPr>
          <w:rFonts w:hint="eastAsia"/>
          <w:color w:val="auto"/>
        </w:rPr>
        <w:t>:</w:t>
      </w:r>
      <w:r>
        <w:rPr>
          <w:rFonts w:hint="eastAsia"/>
          <w:color w:val="auto"/>
          <w:lang w:val="en-US" w:eastAsia="zh-CN"/>
        </w:rPr>
        <w:t>30</w:t>
      </w:r>
      <w:r>
        <w:rPr>
          <w:rFonts w:hint="eastAsia"/>
          <w:color w:val="auto"/>
        </w:rPr>
        <w:t>；</w:t>
      </w:r>
    </w:p>
    <w:p w14:paraId="7BEC95A3">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color w:val="auto"/>
        </w:rPr>
      </w:pPr>
      <w:r>
        <w:rPr>
          <w:rFonts w:hint="eastAsia"/>
          <w:color w:val="auto"/>
        </w:rPr>
        <w:t>2．比选地点：</w:t>
      </w:r>
      <w:r>
        <w:rPr>
          <w:rFonts w:hint="eastAsia"/>
          <w:color w:val="auto"/>
          <w:lang w:val="en-US" w:eastAsia="zh-CN"/>
        </w:rPr>
        <w:t>三明市三元区东乾路109号城发大厦2208室</w:t>
      </w:r>
      <w:r>
        <w:rPr>
          <w:rFonts w:hint="eastAsia"/>
          <w:color w:val="auto"/>
        </w:rPr>
        <w:t>；</w:t>
      </w:r>
    </w:p>
    <w:p w14:paraId="4498CF1B">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color w:val="auto"/>
        </w:rPr>
      </w:pPr>
      <w:r>
        <w:rPr>
          <w:rFonts w:hint="eastAsia"/>
          <w:color w:val="auto"/>
          <w:lang w:val="en-US" w:eastAsia="zh-CN"/>
        </w:rPr>
        <w:t>3</w:t>
      </w:r>
      <w:r>
        <w:rPr>
          <w:rFonts w:hint="eastAsia"/>
          <w:color w:val="auto"/>
        </w:rPr>
        <w:t>．比选人联系人：</w:t>
      </w:r>
      <w:r>
        <w:rPr>
          <w:rFonts w:hint="eastAsia"/>
          <w:color w:val="auto"/>
          <w:lang w:val="en-US" w:eastAsia="zh-CN"/>
        </w:rPr>
        <w:t>周女士</w:t>
      </w:r>
      <w:r>
        <w:rPr>
          <w:rFonts w:hint="eastAsia"/>
          <w:color w:val="auto"/>
        </w:rPr>
        <w:t>；联系电话：1</w:t>
      </w:r>
      <w:r>
        <w:rPr>
          <w:rFonts w:hint="eastAsia"/>
          <w:color w:val="auto"/>
          <w:lang w:val="en-US" w:eastAsia="zh-CN"/>
        </w:rPr>
        <w:t>7305984078</w:t>
      </w:r>
      <w:r>
        <w:rPr>
          <w:rFonts w:hint="eastAsia"/>
          <w:color w:val="auto"/>
        </w:rPr>
        <w:t>；</w:t>
      </w:r>
    </w:p>
    <w:p w14:paraId="66DF2CC2">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color w:val="auto"/>
        </w:rPr>
      </w:pPr>
      <w:r>
        <w:rPr>
          <w:rFonts w:hint="eastAsia"/>
          <w:color w:val="auto"/>
          <w:lang w:val="en-US" w:eastAsia="zh-CN"/>
        </w:rPr>
        <w:t>4</w:t>
      </w:r>
      <w:r>
        <w:rPr>
          <w:rFonts w:hint="eastAsia"/>
          <w:color w:val="auto"/>
        </w:rPr>
        <w:t>．监督部门：</w:t>
      </w:r>
      <w:r>
        <w:rPr>
          <w:rFonts w:hint="eastAsia"/>
          <w:color w:val="auto"/>
          <w:lang w:eastAsia="zh-CN"/>
        </w:rPr>
        <w:t>三明城发居敬康养产业发展有限公司</w:t>
      </w:r>
      <w:r>
        <w:rPr>
          <w:rFonts w:hint="eastAsia"/>
          <w:color w:val="auto"/>
        </w:rPr>
        <w:t>。</w:t>
      </w:r>
    </w:p>
    <w:p w14:paraId="726F035D">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color w:val="auto"/>
        </w:rPr>
      </w:pPr>
      <w:r>
        <w:rPr>
          <w:rFonts w:hint="eastAsia"/>
          <w:color w:val="auto"/>
          <w:lang w:val="en-US" w:eastAsia="zh-CN"/>
        </w:rPr>
        <w:t>5</w:t>
      </w:r>
      <w:r>
        <w:rPr>
          <w:rFonts w:hint="eastAsia"/>
          <w:color w:val="auto"/>
        </w:rPr>
        <w:t>．公告媒介：在三明市城市建设发展集团有限公司网站（https://www.smcfjt.com）公示。</w:t>
      </w:r>
    </w:p>
    <w:p w14:paraId="5C8551A1">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b/>
          <w:bCs/>
          <w:color w:val="auto"/>
        </w:rPr>
      </w:pPr>
      <w:r>
        <w:rPr>
          <w:rFonts w:hint="eastAsia"/>
          <w:b/>
          <w:bCs/>
          <w:color w:val="auto"/>
          <w:lang w:val="en-US" w:eastAsia="zh-CN"/>
        </w:rPr>
        <w:t>六</w:t>
      </w:r>
      <w:r>
        <w:rPr>
          <w:rFonts w:hint="eastAsia"/>
          <w:b/>
          <w:bCs/>
          <w:color w:val="auto"/>
        </w:rPr>
        <w:t>、比选活动程序</w:t>
      </w:r>
    </w:p>
    <w:p w14:paraId="6E6D1450">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b/>
          <w:bCs/>
          <w:color w:val="auto"/>
        </w:rPr>
      </w:pPr>
      <w:r>
        <w:rPr>
          <w:rFonts w:hint="eastAsia"/>
          <w:b/>
          <w:bCs/>
          <w:color w:val="auto"/>
        </w:rPr>
        <w:t>1．签到核验。</w:t>
      </w:r>
      <w:r>
        <w:rPr>
          <w:rFonts w:hint="eastAsia"/>
          <w:b w:val="0"/>
          <w:bCs w:val="0"/>
          <w:color w:val="auto"/>
        </w:rPr>
        <w:t>比选申请人应在比选时间前将比选申请文件递交至比选地点。比选申请人代表应持</w:t>
      </w:r>
      <w:r>
        <w:rPr>
          <w:rFonts w:hint="eastAsia"/>
          <w:b/>
          <w:bCs/>
          <w:color w:val="auto"/>
        </w:rPr>
        <w:t>有效身份证原件</w:t>
      </w:r>
      <w:r>
        <w:rPr>
          <w:rFonts w:hint="eastAsia"/>
          <w:b w:val="0"/>
          <w:bCs w:val="0"/>
          <w:color w:val="auto"/>
        </w:rPr>
        <w:t>按时到场签到。比选人核验比选申请人的法定代表人或其授权委托代理人的身份。逾期送达的或未送达指定地点的或比选申请人代表未按要求到场核验登记的比选申请文件，比选人不予受理。</w:t>
      </w:r>
    </w:p>
    <w:p w14:paraId="021519FB">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b/>
          <w:bCs/>
          <w:color w:val="auto"/>
        </w:rPr>
      </w:pPr>
      <w:r>
        <w:rPr>
          <w:rFonts w:hint="eastAsia"/>
          <w:b/>
          <w:bCs/>
          <w:color w:val="auto"/>
        </w:rPr>
        <w:t>2．资格审核。</w:t>
      </w:r>
      <w:r>
        <w:rPr>
          <w:rFonts w:hint="eastAsia"/>
          <w:b w:val="0"/>
          <w:bCs w:val="0"/>
          <w:color w:val="auto"/>
        </w:rPr>
        <w:t>比选时间开始后，由比选人审核比选申请人的资格条件。比选申请文件中的申请单位、比选项目名称等内容与比选</w:t>
      </w:r>
      <w:r>
        <w:rPr>
          <w:rFonts w:hint="eastAsia"/>
          <w:b w:val="0"/>
          <w:bCs w:val="0"/>
          <w:color w:val="auto"/>
          <w:lang w:val="en-US" w:eastAsia="zh-CN"/>
        </w:rPr>
        <w:t>公告</w:t>
      </w:r>
      <w:r>
        <w:rPr>
          <w:rFonts w:hint="eastAsia"/>
          <w:b w:val="0"/>
          <w:bCs w:val="0"/>
          <w:color w:val="auto"/>
        </w:rPr>
        <w:t>内容不符的，未按要求提供证明材料或未加盖有效印章的，将取消其参加比选资格。</w:t>
      </w:r>
    </w:p>
    <w:p w14:paraId="19AE3DDE">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b w:val="0"/>
          <w:bCs w:val="0"/>
          <w:color w:val="auto"/>
        </w:rPr>
      </w:pPr>
      <w:r>
        <w:rPr>
          <w:rFonts w:hint="eastAsia"/>
          <w:b/>
          <w:bCs/>
          <w:color w:val="auto"/>
        </w:rPr>
        <w:t>3．宣布办法。</w:t>
      </w:r>
      <w:r>
        <w:rPr>
          <w:rFonts w:hint="eastAsia"/>
          <w:b w:val="0"/>
          <w:bCs w:val="0"/>
          <w:color w:val="auto"/>
        </w:rPr>
        <w:t>宣布本次比选办法。</w:t>
      </w:r>
    </w:p>
    <w:p w14:paraId="58D7CFF6">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ascii="宋体" w:hAnsi="宋体" w:eastAsia="宋体" w:cs="宋体"/>
          <w:color w:val="auto"/>
          <w:sz w:val="24"/>
          <w:highlight w:val="none"/>
        </w:rPr>
      </w:pPr>
      <w:r>
        <w:rPr>
          <w:rFonts w:hint="eastAsia" w:cs="宋体"/>
          <w:b/>
          <w:bCs/>
          <w:color w:val="auto"/>
          <w:sz w:val="24"/>
          <w:szCs w:val="24"/>
          <w:highlight w:val="none"/>
          <w:lang w:val="en-US" w:eastAsia="zh-CN"/>
        </w:rPr>
        <w:t>3.1.</w:t>
      </w:r>
      <w:r>
        <w:rPr>
          <w:rFonts w:hint="eastAsia" w:cs="宋体"/>
          <w:b/>
          <w:bCs/>
          <w:color w:val="auto"/>
          <w:sz w:val="24"/>
          <w:szCs w:val="24"/>
          <w:highlight w:val="none"/>
          <w:lang w:eastAsia="zh-CN"/>
        </w:rPr>
        <w:t>比选办法</w:t>
      </w:r>
      <w:r>
        <w:rPr>
          <w:rFonts w:hint="eastAsia" w:ascii="宋体" w:hAnsi="宋体" w:eastAsia="宋体" w:cs="宋体"/>
          <w:b/>
          <w:bCs/>
          <w:color w:val="auto"/>
          <w:sz w:val="24"/>
          <w:szCs w:val="24"/>
          <w:highlight w:val="none"/>
        </w:rPr>
        <w:t>。</w:t>
      </w:r>
      <w:r>
        <w:rPr>
          <w:rFonts w:hint="eastAsia" w:ascii="宋体" w:hAnsi="宋体" w:eastAsia="宋体" w:cs="宋体"/>
          <w:b w:val="0"/>
          <w:bCs w:val="0"/>
          <w:color w:val="auto"/>
          <w:sz w:val="24"/>
          <w:szCs w:val="24"/>
          <w:highlight w:val="none"/>
        </w:rPr>
        <w:t>本比选项目采用</w:t>
      </w:r>
      <w:r>
        <w:rPr>
          <w:rFonts w:hint="eastAsia" w:cs="宋体"/>
          <w:b/>
          <w:bCs/>
          <w:color w:val="auto"/>
          <w:sz w:val="24"/>
          <w:szCs w:val="24"/>
          <w:highlight w:val="none"/>
          <w:lang w:eastAsia="zh-CN"/>
        </w:rPr>
        <w:t>竞价择优中选法</w:t>
      </w:r>
      <w:r>
        <w:rPr>
          <w:rFonts w:hint="eastAsia" w:ascii="宋体" w:hAnsi="宋体" w:eastAsia="宋体" w:cs="宋体"/>
          <w:b w:val="0"/>
          <w:bCs w:val="0"/>
          <w:color w:val="auto"/>
          <w:sz w:val="24"/>
          <w:szCs w:val="24"/>
          <w:highlight w:val="none"/>
        </w:rPr>
        <w:t>。比选申请人的比选报价不得高于最高限价，</w:t>
      </w:r>
      <w:r>
        <w:rPr>
          <w:rFonts w:hint="eastAsia" w:cs="宋体"/>
          <w:b w:val="0"/>
          <w:bCs w:val="0"/>
          <w:color w:val="auto"/>
          <w:sz w:val="24"/>
          <w:szCs w:val="24"/>
          <w:highlight w:val="none"/>
          <w:lang w:eastAsia="zh-CN"/>
        </w:rPr>
        <w:t>各子项目的比选单价不得高于对应子项目的单价最高限价，</w:t>
      </w:r>
      <w:r>
        <w:rPr>
          <w:rFonts w:hint="eastAsia" w:ascii="宋体" w:hAnsi="宋体" w:eastAsia="宋体" w:cs="宋体"/>
          <w:b w:val="0"/>
          <w:bCs w:val="0"/>
          <w:color w:val="auto"/>
          <w:sz w:val="24"/>
          <w:szCs w:val="24"/>
          <w:highlight w:val="none"/>
        </w:rPr>
        <w:t>否则</w:t>
      </w:r>
      <w:r>
        <w:rPr>
          <w:rFonts w:hint="eastAsia" w:cs="宋体"/>
          <w:b w:val="0"/>
          <w:bCs w:val="0"/>
          <w:color w:val="auto"/>
          <w:sz w:val="24"/>
          <w:szCs w:val="24"/>
          <w:highlight w:val="none"/>
          <w:lang w:eastAsia="zh-CN"/>
        </w:rPr>
        <w:t>其报价无效</w:t>
      </w:r>
      <w:r>
        <w:rPr>
          <w:rFonts w:hint="eastAsia" w:ascii="宋体" w:hAnsi="宋体" w:eastAsia="宋体" w:cs="宋体"/>
          <w:b w:val="0"/>
          <w:bCs w:val="0"/>
          <w:color w:val="auto"/>
          <w:sz w:val="24"/>
          <w:szCs w:val="24"/>
          <w:highlight w:val="none"/>
        </w:rPr>
        <w:t>。比选报价大写数值和小写数值不一致的，以大写数值为准。</w:t>
      </w:r>
      <w:r>
        <w:rPr>
          <w:rFonts w:hint="eastAsia" w:cs="宋体"/>
          <w:b w:val="0"/>
          <w:bCs w:val="0"/>
          <w:color w:val="auto"/>
          <w:sz w:val="24"/>
          <w:szCs w:val="24"/>
          <w:highlight w:val="none"/>
          <w:lang w:eastAsia="zh-CN"/>
        </w:rPr>
        <w:t>优惠率</w:t>
      </w:r>
      <w:r>
        <w:rPr>
          <w:rFonts w:hint="eastAsia" w:ascii="宋体" w:hAnsi="宋体" w:eastAsia="宋体" w:cs="宋体"/>
          <w:b w:val="0"/>
          <w:bCs w:val="0"/>
          <w:color w:val="auto"/>
          <w:sz w:val="24"/>
          <w:szCs w:val="24"/>
          <w:highlight w:val="none"/>
        </w:rPr>
        <w:t>计算结果和与总价不一致的，以</w:t>
      </w:r>
      <w:r>
        <w:rPr>
          <w:rFonts w:hint="eastAsia" w:cs="宋体"/>
          <w:b w:val="0"/>
          <w:bCs w:val="0"/>
          <w:color w:val="auto"/>
          <w:sz w:val="24"/>
          <w:szCs w:val="24"/>
          <w:highlight w:val="none"/>
          <w:lang w:eastAsia="zh-CN"/>
        </w:rPr>
        <w:t>优惠率</w:t>
      </w:r>
      <w:r>
        <w:rPr>
          <w:rFonts w:hint="eastAsia" w:ascii="宋体" w:hAnsi="宋体" w:eastAsia="宋体" w:cs="宋体"/>
          <w:b w:val="0"/>
          <w:bCs w:val="0"/>
          <w:color w:val="auto"/>
          <w:sz w:val="24"/>
          <w:szCs w:val="24"/>
          <w:highlight w:val="none"/>
        </w:rPr>
        <w:t>为准，并修改总价</w:t>
      </w:r>
      <w:r>
        <w:rPr>
          <w:rFonts w:hint="eastAsia" w:ascii="宋体" w:hAnsi="宋体" w:eastAsia="宋体" w:cs="宋体"/>
          <w:color w:val="auto"/>
          <w:sz w:val="24"/>
          <w:highlight w:val="none"/>
        </w:rPr>
        <w:t>。</w:t>
      </w:r>
    </w:p>
    <w:p w14:paraId="5ACB360F">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cs="宋体"/>
          <w:color w:val="auto"/>
          <w:sz w:val="24"/>
          <w:szCs w:val="24"/>
          <w:highlight w:val="none"/>
          <w:lang w:val="en-US" w:eastAsia="zh-CN"/>
        </w:rPr>
      </w:pPr>
      <w:r>
        <w:rPr>
          <w:rFonts w:hint="eastAsia" w:cs="宋体"/>
          <w:b w:val="0"/>
          <w:bCs w:val="0"/>
          <w:color w:val="auto"/>
          <w:sz w:val="24"/>
          <w:szCs w:val="24"/>
          <w:highlight w:val="none"/>
          <w:lang w:val="en-US" w:eastAsia="zh-CN"/>
        </w:rPr>
        <w:t>①</w:t>
      </w:r>
      <w:r>
        <w:rPr>
          <w:rFonts w:hint="eastAsia" w:ascii="宋体" w:hAnsi="宋体" w:eastAsia="宋体" w:cs="宋体"/>
          <w:color w:val="auto"/>
          <w:sz w:val="24"/>
          <w:szCs w:val="24"/>
          <w:highlight w:val="none"/>
        </w:rPr>
        <w:t>若资格条件</w:t>
      </w:r>
      <w:r>
        <w:rPr>
          <w:rFonts w:hint="eastAsia" w:cs="宋体"/>
          <w:color w:val="auto"/>
          <w:sz w:val="24"/>
          <w:szCs w:val="24"/>
          <w:highlight w:val="none"/>
          <w:lang w:eastAsia="zh-CN"/>
        </w:rPr>
        <w:t>、报价</w:t>
      </w:r>
      <w:r>
        <w:rPr>
          <w:rFonts w:hint="eastAsia" w:ascii="宋体" w:hAnsi="宋体" w:eastAsia="宋体" w:cs="宋体"/>
          <w:color w:val="auto"/>
          <w:sz w:val="24"/>
          <w:szCs w:val="24"/>
          <w:highlight w:val="none"/>
        </w:rPr>
        <w:t>符合要求的</w:t>
      </w:r>
      <w:r>
        <w:rPr>
          <w:rFonts w:hint="eastAsia" w:cs="宋体"/>
          <w:color w:val="auto"/>
          <w:sz w:val="24"/>
          <w:szCs w:val="24"/>
          <w:highlight w:val="none"/>
          <w:lang w:eastAsia="zh-CN"/>
        </w:rPr>
        <w:t>比选申请人</w:t>
      </w:r>
      <w:r>
        <w:rPr>
          <w:rFonts w:hint="eastAsia" w:cs="宋体"/>
          <w:color w:val="auto"/>
          <w:sz w:val="24"/>
          <w:szCs w:val="24"/>
          <w:highlight w:val="none"/>
          <w:lang w:val="en-US" w:eastAsia="zh-CN"/>
        </w:rPr>
        <w:t>＜3家</w:t>
      </w:r>
      <w:r>
        <w:rPr>
          <w:rFonts w:hint="eastAsia" w:ascii="宋体" w:hAnsi="宋体" w:eastAsia="宋体" w:cs="宋体"/>
          <w:color w:val="auto"/>
          <w:sz w:val="24"/>
          <w:szCs w:val="24"/>
          <w:highlight w:val="none"/>
        </w:rPr>
        <w:t>时，</w:t>
      </w:r>
      <w:r>
        <w:rPr>
          <w:rFonts w:hint="eastAsia" w:cs="宋体"/>
          <w:color w:val="auto"/>
          <w:sz w:val="24"/>
          <w:szCs w:val="24"/>
          <w:highlight w:val="none"/>
          <w:lang w:val="en-US" w:eastAsia="zh-CN"/>
        </w:rPr>
        <w:t>本次比选失败。</w:t>
      </w:r>
    </w:p>
    <w:p w14:paraId="642A9A60">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ascii="宋体" w:hAnsi="宋体" w:eastAsia="宋体" w:cs="宋体"/>
          <w:color w:val="auto"/>
          <w:kern w:val="0"/>
          <w:sz w:val="24"/>
          <w:szCs w:val="24"/>
          <w:lang w:val="en-US" w:eastAsia="zh-CN" w:bidi="ar-SA"/>
        </w:rPr>
      </w:pPr>
      <w:r>
        <w:rPr>
          <w:rFonts w:hint="eastAsia" w:cs="宋体"/>
          <w:color w:val="auto"/>
          <w:sz w:val="24"/>
          <w:szCs w:val="24"/>
          <w:highlight w:val="none"/>
          <w:lang w:val="en-US" w:eastAsia="zh-CN"/>
        </w:rPr>
        <w:t>②</w:t>
      </w:r>
      <w:r>
        <w:rPr>
          <w:rFonts w:hint="eastAsia" w:ascii="宋体" w:hAnsi="宋体" w:eastAsia="宋体" w:cs="宋体"/>
          <w:color w:val="auto"/>
          <w:sz w:val="24"/>
          <w:szCs w:val="24"/>
          <w:highlight w:val="none"/>
        </w:rPr>
        <w:t>若资格条件</w:t>
      </w:r>
      <w:r>
        <w:rPr>
          <w:rFonts w:hint="eastAsia" w:cs="宋体"/>
          <w:color w:val="auto"/>
          <w:sz w:val="24"/>
          <w:szCs w:val="24"/>
          <w:highlight w:val="none"/>
          <w:lang w:eastAsia="zh-CN"/>
        </w:rPr>
        <w:t>、报价</w:t>
      </w:r>
      <w:r>
        <w:rPr>
          <w:rFonts w:hint="eastAsia" w:ascii="宋体" w:hAnsi="宋体" w:eastAsia="宋体" w:cs="宋体"/>
          <w:color w:val="auto"/>
          <w:sz w:val="24"/>
          <w:szCs w:val="24"/>
          <w:highlight w:val="none"/>
        </w:rPr>
        <w:t>符合要求的</w:t>
      </w:r>
      <w:r>
        <w:rPr>
          <w:rFonts w:hint="eastAsia" w:cs="宋体"/>
          <w:color w:val="auto"/>
          <w:sz w:val="24"/>
          <w:szCs w:val="24"/>
          <w:highlight w:val="none"/>
          <w:lang w:eastAsia="zh-CN"/>
        </w:rPr>
        <w:t>比选申请人数量</w:t>
      </w:r>
      <w:r>
        <w:rPr>
          <w:rFonts w:hint="eastAsia" w:cs="宋体"/>
          <w:color w:val="auto"/>
          <w:sz w:val="24"/>
          <w:szCs w:val="24"/>
          <w:highlight w:val="none"/>
          <w:lang w:val="en-US" w:eastAsia="zh-CN"/>
        </w:rPr>
        <w:t>≥3</w:t>
      </w:r>
      <w:r>
        <w:rPr>
          <w:rFonts w:hint="eastAsia" w:ascii="宋体" w:hAnsi="宋体" w:eastAsia="宋体" w:cs="宋体"/>
          <w:color w:val="auto"/>
          <w:sz w:val="24"/>
          <w:szCs w:val="24"/>
          <w:highlight w:val="none"/>
        </w:rPr>
        <w:t>家时，</w:t>
      </w:r>
      <w:r>
        <w:rPr>
          <w:rFonts w:hint="eastAsia" w:ascii="宋体" w:hAnsi="宋体" w:eastAsia="宋体" w:cs="宋体"/>
          <w:color w:val="auto"/>
          <w:sz w:val="24"/>
          <w:szCs w:val="24"/>
          <w:highlight w:val="none"/>
          <w:lang w:eastAsia="zh-CN"/>
        </w:rPr>
        <w:t>将</w:t>
      </w:r>
      <w:r>
        <w:rPr>
          <w:rFonts w:hint="eastAsia" w:ascii="宋体" w:hAnsi="宋体" w:eastAsia="宋体" w:cs="宋体"/>
          <w:color w:val="auto"/>
          <w:sz w:val="24"/>
          <w:szCs w:val="24"/>
          <w:highlight w:val="none"/>
        </w:rPr>
        <w:t>符合条件的比选</w:t>
      </w:r>
      <w:r>
        <w:rPr>
          <w:rFonts w:hint="eastAsia" w:cs="宋体"/>
          <w:color w:val="auto"/>
          <w:sz w:val="24"/>
          <w:szCs w:val="24"/>
          <w:highlight w:val="none"/>
          <w:lang w:eastAsia="zh-CN"/>
        </w:rPr>
        <w:t>申请人的报价由低到高排序（即优惠率从低到高），</w:t>
      </w:r>
      <w:r>
        <w:rPr>
          <w:rFonts w:hint="eastAsia" w:ascii="宋体" w:hAnsi="宋体" w:cs="宋体"/>
          <w:color w:val="auto"/>
          <w:sz w:val="24"/>
          <w:highlight w:val="none"/>
        </w:rPr>
        <w:t>有效</w:t>
      </w:r>
      <w:r>
        <w:rPr>
          <w:rFonts w:hint="eastAsia" w:ascii="宋体" w:hAnsi="宋体" w:cs="宋体"/>
          <w:color w:val="auto"/>
          <w:sz w:val="24"/>
          <w:highlight w:val="none"/>
          <w:lang w:eastAsia="zh-CN"/>
        </w:rPr>
        <w:t>报价</w:t>
      </w:r>
      <w:r>
        <w:rPr>
          <w:rFonts w:hint="eastAsia" w:ascii="宋体" w:hAnsi="宋体" w:cs="宋体"/>
          <w:color w:val="auto"/>
          <w:sz w:val="24"/>
          <w:highlight w:val="none"/>
        </w:rPr>
        <w:t>最低的为第一中</w:t>
      </w:r>
      <w:r>
        <w:rPr>
          <w:rFonts w:hint="eastAsia" w:ascii="宋体" w:hAnsi="宋体" w:cs="宋体"/>
          <w:color w:val="auto"/>
          <w:sz w:val="24"/>
          <w:highlight w:val="none"/>
          <w:lang w:eastAsia="zh-CN"/>
        </w:rPr>
        <w:t>选</w:t>
      </w:r>
      <w:r>
        <w:rPr>
          <w:rFonts w:hint="eastAsia" w:ascii="宋体" w:hAnsi="宋体" w:cs="宋体"/>
          <w:color w:val="auto"/>
          <w:sz w:val="24"/>
          <w:highlight w:val="none"/>
        </w:rPr>
        <w:t>候选人，以此类推选择第二、第三中</w:t>
      </w:r>
      <w:r>
        <w:rPr>
          <w:rFonts w:hint="eastAsia" w:ascii="宋体" w:hAnsi="宋体" w:cs="宋体"/>
          <w:color w:val="auto"/>
          <w:sz w:val="24"/>
          <w:highlight w:val="none"/>
          <w:lang w:eastAsia="zh-CN"/>
        </w:rPr>
        <w:t>选</w:t>
      </w:r>
      <w:r>
        <w:rPr>
          <w:rFonts w:hint="eastAsia" w:ascii="宋体" w:hAnsi="宋体" w:cs="宋体"/>
          <w:color w:val="auto"/>
          <w:sz w:val="24"/>
          <w:highlight w:val="none"/>
        </w:rPr>
        <w:t>候选人。当出现二个或二个以上</w:t>
      </w:r>
      <w:r>
        <w:rPr>
          <w:rFonts w:hint="eastAsia" w:ascii="宋体" w:hAnsi="宋体" w:cs="宋体"/>
          <w:color w:val="auto"/>
          <w:sz w:val="24"/>
          <w:highlight w:val="none"/>
          <w:lang w:eastAsia="zh-CN"/>
        </w:rPr>
        <w:t>比选申请人</w:t>
      </w:r>
      <w:r>
        <w:rPr>
          <w:rFonts w:hint="eastAsia" w:ascii="宋体" w:hAnsi="宋体" w:cs="宋体"/>
          <w:color w:val="auto"/>
          <w:sz w:val="24"/>
          <w:highlight w:val="none"/>
        </w:rPr>
        <w:t>的有效</w:t>
      </w:r>
      <w:r>
        <w:rPr>
          <w:rFonts w:hint="eastAsia" w:ascii="宋体" w:hAnsi="宋体" w:cs="宋体"/>
          <w:color w:val="auto"/>
          <w:sz w:val="24"/>
          <w:highlight w:val="none"/>
          <w:lang w:eastAsia="zh-CN"/>
        </w:rPr>
        <w:t>报价</w:t>
      </w:r>
      <w:r>
        <w:rPr>
          <w:rFonts w:hint="eastAsia" w:ascii="宋体" w:hAnsi="宋体" w:cs="宋体"/>
          <w:color w:val="auto"/>
          <w:sz w:val="24"/>
          <w:highlight w:val="none"/>
        </w:rPr>
        <w:t>相同时，则以随机抽取</w:t>
      </w:r>
      <w:r>
        <w:rPr>
          <w:rFonts w:hint="eastAsia" w:ascii="宋体" w:hAnsi="宋体" w:eastAsia="宋体" w:cs="宋体"/>
          <w:b w:val="0"/>
          <w:bCs w:val="0"/>
          <w:color w:val="auto"/>
          <w:sz w:val="24"/>
          <w:szCs w:val="24"/>
          <w:highlight w:val="none"/>
        </w:rPr>
        <w:t>的方式</w:t>
      </w:r>
      <w:r>
        <w:rPr>
          <w:rFonts w:hint="eastAsia" w:ascii="宋体" w:hAnsi="宋体" w:cs="宋体"/>
          <w:color w:val="auto"/>
          <w:sz w:val="24"/>
          <w:highlight w:val="none"/>
        </w:rPr>
        <w:t>确定排序；以比选申请人提交比选申请书的签到号作为代表号（代表号不再另行抽取）</w:t>
      </w:r>
      <w:r>
        <w:rPr>
          <w:rFonts w:hint="eastAsia" w:cs="宋体"/>
          <w:color w:val="auto"/>
          <w:sz w:val="24"/>
          <w:highlight w:val="none"/>
          <w:lang w:eastAsia="zh-CN"/>
        </w:rPr>
        <w:t>进行</w:t>
      </w:r>
      <w:r>
        <w:rPr>
          <w:rFonts w:hint="eastAsia" w:ascii="宋体" w:hAnsi="宋体" w:cs="宋体"/>
          <w:color w:val="auto"/>
          <w:sz w:val="24"/>
          <w:highlight w:val="none"/>
        </w:rPr>
        <w:t>随机抽取，先抽取出来的球号排序在前。</w:t>
      </w:r>
    </w:p>
    <w:p w14:paraId="3E12389A">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color w:val="auto"/>
        </w:rPr>
      </w:pPr>
      <w:r>
        <w:rPr>
          <w:rFonts w:hint="eastAsia"/>
          <w:b/>
          <w:bCs/>
          <w:color w:val="auto"/>
          <w:lang w:val="en-US" w:eastAsia="zh-CN"/>
        </w:rPr>
        <w:t>4.</w:t>
      </w:r>
      <w:r>
        <w:rPr>
          <w:rFonts w:hint="eastAsia"/>
          <w:b/>
          <w:bCs/>
          <w:color w:val="auto"/>
        </w:rPr>
        <w:t>公示结果。</w:t>
      </w:r>
      <w:r>
        <w:rPr>
          <w:rFonts w:hint="eastAsia"/>
          <w:color w:val="auto"/>
        </w:rPr>
        <w:t>公示比选结果，公示期</w:t>
      </w:r>
      <w:r>
        <w:rPr>
          <w:rFonts w:hint="eastAsia"/>
          <w:color w:val="auto"/>
          <w:lang w:val="en-US" w:eastAsia="zh-CN"/>
        </w:rPr>
        <w:t>3</w:t>
      </w:r>
      <w:r>
        <w:rPr>
          <w:rFonts w:hint="eastAsia"/>
          <w:color w:val="auto"/>
        </w:rPr>
        <w:t>天。</w:t>
      </w:r>
    </w:p>
    <w:p w14:paraId="6C7E6C2C">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color w:val="auto"/>
        </w:rPr>
      </w:pPr>
      <w:r>
        <w:rPr>
          <w:rFonts w:hint="eastAsia"/>
          <w:b/>
          <w:bCs/>
          <w:color w:val="auto"/>
          <w:lang w:val="en-US" w:eastAsia="zh-CN"/>
        </w:rPr>
        <w:t>5.</w:t>
      </w:r>
      <w:r>
        <w:rPr>
          <w:rFonts w:hint="eastAsia"/>
          <w:b/>
          <w:bCs/>
          <w:color w:val="auto"/>
        </w:rPr>
        <w:t>发通知书。</w:t>
      </w:r>
      <w:r>
        <w:rPr>
          <w:rFonts w:hint="eastAsia"/>
          <w:color w:val="auto"/>
        </w:rPr>
        <w:t>经公示无异议后，向第一中选候选人发放《中选通知书》。</w:t>
      </w:r>
    </w:p>
    <w:p w14:paraId="4BFACD9B">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rFonts w:hint="eastAsia"/>
          <w:color w:val="auto"/>
        </w:rPr>
      </w:pPr>
      <w:r>
        <w:rPr>
          <w:rFonts w:hint="eastAsia"/>
          <w:b/>
          <w:color w:val="auto"/>
          <w:lang w:val="en-US" w:eastAsia="zh-CN"/>
        </w:rPr>
        <w:t>6</w:t>
      </w:r>
      <w:r>
        <w:rPr>
          <w:rFonts w:hint="eastAsia"/>
          <w:b/>
          <w:color w:val="auto"/>
        </w:rPr>
        <w:t>.签订合同。</w:t>
      </w:r>
      <w:r>
        <w:rPr>
          <w:rFonts w:hint="eastAsia"/>
          <w:color w:val="auto"/>
        </w:rPr>
        <w:t>中选的单位按照中选通知书要求的时间与比选人联系、商议，依照法律法规签订合同。</w:t>
      </w:r>
    </w:p>
    <w:p w14:paraId="52AC4613">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32"/>
        <w:jc w:val="both"/>
        <w:textAlignment w:val="auto"/>
        <w:rPr>
          <w:color w:val="auto"/>
        </w:rPr>
      </w:pPr>
      <w:r>
        <w:rPr>
          <w:rFonts w:hint="eastAsia"/>
          <w:b/>
          <w:color w:val="auto"/>
          <w:lang w:val="en-US" w:eastAsia="zh-CN"/>
        </w:rPr>
        <w:t>7</w:t>
      </w:r>
      <w:r>
        <w:rPr>
          <w:rFonts w:hint="eastAsia"/>
          <w:b/>
          <w:color w:val="auto"/>
        </w:rPr>
        <w:t>.重新委托。</w:t>
      </w:r>
      <w:r>
        <w:rPr>
          <w:rFonts w:hint="eastAsia"/>
          <w:b w:val="0"/>
          <w:bCs/>
          <w:color w:val="auto"/>
        </w:rPr>
        <w:t>中选单位放弃中选、因不可抗力提出不能履行合同，或中选单位的中选资格被相关行政主管部门确认无效的，可以直接按顺序位确定第二顺位的候选单位为中选单位；如第二家也放弃中选或因客观因素无法承接，可按顺序位确定第三顺位的候选单位为中选单位。</w:t>
      </w:r>
    </w:p>
    <w:p w14:paraId="3B7CF965">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40"/>
        <w:jc w:val="both"/>
        <w:textAlignment w:val="auto"/>
        <w:rPr>
          <w:b/>
          <w:color w:val="auto"/>
        </w:rPr>
      </w:pPr>
      <w:r>
        <w:rPr>
          <w:rFonts w:hint="eastAsia"/>
          <w:b/>
          <w:color w:val="auto"/>
          <w:lang w:val="en-US" w:eastAsia="zh-CN"/>
        </w:rPr>
        <w:t>七</w:t>
      </w:r>
      <w:r>
        <w:rPr>
          <w:rFonts w:hint="eastAsia"/>
          <w:b/>
          <w:color w:val="auto"/>
        </w:rPr>
        <w:t>、其他事宜</w:t>
      </w:r>
    </w:p>
    <w:p w14:paraId="486705A8">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40"/>
        <w:jc w:val="both"/>
        <w:textAlignment w:val="auto"/>
        <w:rPr>
          <w:rFonts w:hint="eastAsia"/>
          <w:color w:val="auto"/>
          <w:highlight w:val="none"/>
          <w:lang w:val="en-US" w:eastAsia="zh-CN"/>
        </w:rPr>
      </w:pPr>
      <w:r>
        <w:rPr>
          <w:rFonts w:hint="eastAsia"/>
          <w:color w:val="auto"/>
          <w:highlight w:val="none"/>
          <w:lang w:val="en-US" w:eastAsia="zh-CN"/>
        </w:rPr>
        <w:t>1.中选的单位非不可抗力原因放弃中选的，或不按合同约定提供服务的，给比选人造成损失的，应当进行赔偿，赔偿额为比选申请人报价的20%。</w:t>
      </w:r>
    </w:p>
    <w:p w14:paraId="378CB9A8">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right="560" w:firstLine="640"/>
        <w:jc w:val="right"/>
        <w:textAlignment w:val="auto"/>
        <w:rPr>
          <w:rFonts w:hint="eastAsia"/>
          <w:color w:val="auto"/>
        </w:rPr>
      </w:pPr>
      <w:r>
        <w:rPr>
          <w:rFonts w:hint="eastAsia"/>
          <w:color w:val="auto"/>
        </w:rPr>
        <w:t xml:space="preserve"> </w:t>
      </w:r>
    </w:p>
    <w:p w14:paraId="384C12D8">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right="560" w:firstLine="640"/>
        <w:jc w:val="right"/>
        <w:textAlignment w:val="auto"/>
        <w:rPr>
          <w:rFonts w:hint="eastAsia" w:eastAsia="宋体"/>
          <w:color w:val="auto"/>
          <w:lang w:eastAsia="zh-CN"/>
        </w:rPr>
      </w:pPr>
      <w:r>
        <w:rPr>
          <w:rFonts w:hint="eastAsia"/>
          <w:color w:val="auto"/>
        </w:rPr>
        <w:t xml:space="preserve">  比选人：</w:t>
      </w:r>
      <w:r>
        <w:rPr>
          <w:rFonts w:hint="eastAsia"/>
          <w:color w:val="auto"/>
          <w:lang w:eastAsia="zh-CN"/>
        </w:rPr>
        <w:t>三明城发居敬康养产业发展有限公司</w:t>
      </w:r>
    </w:p>
    <w:p w14:paraId="11313E36">
      <w:pPr>
        <w:pStyle w:val="15"/>
        <w:keepNext w:val="0"/>
        <w:keepLines w:val="0"/>
        <w:pageBreakBefore w:val="0"/>
        <w:kinsoku/>
        <w:wordWrap/>
        <w:overflowPunct/>
        <w:topLinePunct w:val="0"/>
        <w:autoSpaceDE/>
        <w:autoSpaceDN/>
        <w:bidi w:val="0"/>
        <w:adjustRightInd/>
        <w:snapToGrid/>
        <w:spacing w:before="0" w:beforeAutospacing="0" w:after="0" w:afterAutospacing="0" w:line="360" w:lineRule="auto"/>
        <w:ind w:right="560" w:firstLine="6004" w:firstLineChars="2502"/>
        <w:jc w:val="left"/>
        <w:textAlignment w:val="auto"/>
        <w:rPr>
          <w:rFonts w:hint="eastAsia"/>
          <w:color w:val="auto"/>
        </w:rPr>
      </w:pPr>
      <w:r>
        <w:rPr>
          <w:rFonts w:hint="eastAsia"/>
          <w:color w:val="auto"/>
          <w:lang w:val="en-US" w:eastAsia="zh-CN"/>
        </w:rPr>
        <w:t xml:space="preserve">    </w:t>
      </w:r>
      <w:r>
        <w:rPr>
          <w:rFonts w:hint="eastAsia"/>
          <w:color w:val="auto"/>
        </w:rPr>
        <w:t>202</w:t>
      </w:r>
      <w:r>
        <w:rPr>
          <w:rFonts w:hint="eastAsia"/>
          <w:color w:val="auto"/>
          <w:lang w:val="en-US" w:eastAsia="zh-CN"/>
        </w:rPr>
        <w:t>5</w:t>
      </w:r>
      <w:r>
        <w:rPr>
          <w:rFonts w:hint="eastAsia"/>
          <w:color w:val="auto"/>
        </w:rPr>
        <w:t>年</w:t>
      </w:r>
      <w:r>
        <w:rPr>
          <w:rFonts w:hint="eastAsia"/>
          <w:color w:val="auto"/>
          <w:lang w:val="en-US" w:eastAsia="zh-CN"/>
        </w:rPr>
        <w:t>8</w:t>
      </w:r>
      <w:r>
        <w:rPr>
          <w:rFonts w:hint="eastAsia"/>
          <w:color w:val="auto"/>
        </w:rPr>
        <w:t>月</w:t>
      </w:r>
      <w:r>
        <w:rPr>
          <w:rFonts w:hint="eastAsia"/>
          <w:color w:val="auto"/>
          <w:lang w:val="en-US" w:eastAsia="zh-CN"/>
        </w:rPr>
        <w:t>1</w:t>
      </w:r>
      <w:r>
        <w:rPr>
          <w:rFonts w:hint="eastAsia"/>
          <w:color w:val="auto"/>
        </w:rPr>
        <w:t>日</w:t>
      </w:r>
    </w:p>
    <w:p w14:paraId="552D0BBA">
      <w:pPr>
        <w:jc w:val="right"/>
        <w:rPr>
          <w:rFonts w:ascii="宋体" w:hAnsi="宋体" w:eastAsia="宋体" w:cs="宋体"/>
          <w:color w:val="auto"/>
          <w:sz w:val="44"/>
          <w:szCs w:val="44"/>
          <w:shd w:val="clear" w:color="auto" w:fill="FFFFFF"/>
        </w:rPr>
      </w:pPr>
      <w:r>
        <w:rPr>
          <w:rFonts w:hint="eastAsia" w:ascii="宋体" w:hAnsi="宋体" w:eastAsia="宋体" w:cs="宋体"/>
          <w:color w:val="auto"/>
          <w:sz w:val="44"/>
          <w:szCs w:val="44"/>
          <w:shd w:val="clear" w:color="auto" w:fill="FFFFFF"/>
        </w:rPr>
        <w:br w:type="page"/>
      </w:r>
    </w:p>
    <w:p w14:paraId="46BF9634">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 1 ：比选申请文件格式</w:t>
      </w:r>
    </w:p>
    <w:p w14:paraId="5C65E065">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02EAC08D">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s="宋体"/>
          <w:b w:val="0"/>
          <w:bCs/>
          <w:color w:val="auto"/>
          <w:sz w:val="24"/>
          <w:szCs w:val="24"/>
          <w:highlight w:val="none"/>
          <w:u w:val="single"/>
          <w:lang w:eastAsia="zh-CN"/>
        </w:rPr>
        <w:t>三明城发居敬康养产业发展有限公司</w:t>
      </w:r>
      <w:r>
        <w:rPr>
          <w:rFonts w:hint="eastAsia"/>
          <w:color w:val="auto"/>
          <w:highlight w:val="none"/>
        </w:rPr>
        <w:t>（比选人）：</w:t>
      </w:r>
    </w:p>
    <w:p w14:paraId="6D95B67C">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s="宋体"/>
          <w:color w:val="auto"/>
          <w:sz w:val="24"/>
          <w:szCs w:val="24"/>
          <w:highlight w:val="none"/>
          <w:u w:val="single"/>
          <w:lang w:val="en-US" w:eastAsia="zh-CN"/>
        </w:rPr>
        <w:t>金澜湾展厅</w:t>
      </w:r>
      <w:r>
        <w:rPr>
          <w:rFonts w:hint="eastAsia" w:cs="宋体"/>
          <w:color w:val="auto"/>
          <w:sz w:val="24"/>
          <w:szCs w:val="24"/>
          <w:highlight w:val="none"/>
          <w:u w:val="single"/>
          <w:lang w:eastAsia="zh-CN"/>
        </w:rPr>
        <w:t>智能化工程施工</w:t>
      </w:r>
      <w:r>
        <w:rPr>
          <w:rFonts w:hint="eastAsia"/>
          <w:color w:val="auto"/>
          <w:highlight w:val="none"/>
          <w:lang w:eastAsia="zh-CN"/>
        </w:rPr>
        <w:t>比选</w:t>
      </w:r>
      <w:r>
        <w:rPr>
          <w:rFonts w:hint="eastAsia"/>
          <w:color w:val="auto"/>
          <w:highlight w:val="none"/>
          <w:lang w:val="en-US" w:eastAsia="zh-CN"/>
        </w:rPr>
        <w:t>公告</w:t>
      </w:r>
      <w:r>
        <w:rPr>
          <w:rFonts w:hint="eastAsia"/>
          <w:color w:val="auto"/>
          <w:highlight w:val="none"/>
        </w:rPr>
        <w:t>的各项条款及要求后，我公司对你公司的</w:t>
      </w:r>
      <w:r>
        <w:rPr>
          <w:rFonts w:hint="eastAsia" w:cs="宋体"/>
          <w:color w:val="auto"/>
          <w:sz w:val="24"/>
          <w:szCs w:val="24"/>
          <w:highlight w:val="none"/>
          <w:u w:val="single"/>
          <w:lang w:val="en-US" w:eastAsia="zh-CN"/>
        </w:rPr>
        <w:t>金澜湾展厅</w:t>
      </w:r>
      <w:r>
        <w:rPr>
          <w:rFonts w:hint="eastAsia" w:cs="宋体"/>
          <w:color w:val="auto"/>
          <w:sz w:val="24"/>
          <w:szCs w:val="24"/>
          <w:highlight w:val="none"/>
          <w:u w:val="single"/>
          <w:lang w:eastAsia="zh-CN"/>
        </w:rPr>
        <w:t>智能化工程施工</w:t>
      </w:r>
      <w:r>
        <w:rPr>
          <w:rFonts w:hint="eastAsia"/>
          <w:color w:val="auto"/>
          <w:highlight w:val="none"/>
        </w:rPr>
        <w:t>比选提出申请。我公司将接受并遵守比选公告所规定的各项条款，并提供以下比选申请文件</w:t>
      </w:r>
      <w:r>
        <w:rPr>
          <w:rFonts w:hint="eastAsia"/>
          <w:color w:val="auto"/>
          <w:highlight w:val="none"/>
          <w:lang w:eastAsia="zh-CN"/>
        </w:rPr>
        <w:t>：</w:t>
      </w:r>
    </w:p>
    <w:p w14:paraId="212781CA">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6F83B14F">
      <w:pPr>
        <w:pStyle w:val="15"/>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3459048C">
      <w:pPr>
        <w:pStyle w:val="15"/>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拟担任项目负责人简历表；</w:t>
      </w:r>
    </w:p>
    <w:p w14:paraId="715B345C">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2.如我</w:t>
      </w:r>
      <w:r>
        <w:rPr>
          <w:rFonts w:hint="eastAsia"/>
          <w:color w:val="auto"/>
          <w:highlight w:val="none"/>
        </w:rPr>
        <w:t>公司</w:t>
      </w:r>
      <w:r>
        <w:rPr>
          <w:rFonts w:hint="eastAsia"/>
          <w:color w:val="auto"/>
          <w:highlight w:val="none"/>
          <w:lang w:val="en-US" w:eastAsia="zh-CN"/>
        </w:rPr>
        <w:t>中选：</w:t>
      </w:r>
    </w:p>
    <w:p w14:paraId="0FC1C324">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w:t>
      </w:r>
      <w:r>
        <w:rPr>
          <w:rFonts w:hint="eastAsia"/>
          <w:color w:val="auto"/>
          <w:highlight w:val="none"/>
        </w:rPr>
        <w:t>公司</w:t>
      </w:r>
      <w:r>
        <w:rPr>
          <w:rFonts w:hint="eastAsia"/>
          <w:color w:val="auto"/>
          <w:highlight w:val="none"/>
          <w:lang w:val="en-US" w:eastAsia="zh-CN"/>
        </w:rPr>
        <w:t>承诺我公司及其拟派出的人员未被依法禁止投标、未存在财产被冻结或接管的情况或处于从业限制期限内、未被人民法院列为“失信被执行人”、未被工商行政管理机关列入“严重违法失信企业名单”。</w:t>
      </w:r>
    </w:p>
    <w:p w14:paraId="51B219E2">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承诺在收到中选通知书后，在中选通知书规定的期限内按照</w:t>
      </w:r>
      <w:r>
        <w:rPr>
          <w:rFonts w:hint="eastAsia"/>
          <w:color w:val="auto"/>
          <w:highlight w:val="none"/>
          <w:lang w:eastAsia="zh-CN"/>
        </w:rPr>
        <w:t>比选</w:t>
      </w:r>
      <w:r>
        <w:rPr>
          <w:rFonts w:hint="eastAsia"/>
          <w:color w:val="auto"/>
          <w:highlight w:val="none"/>
          <w:lang w:val="en-US" w:eastAsia="zh-CN"/>
        </w:rPr>
        <w:t>公告规定及要求与比选人签订合同；</w:t>
      </w:r>
    </w:p>
    <w:p w14:paraId="576DDFD6">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14:paraId="3291AC86">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728E25B3">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r>
        <w:rPr>
          <w:rFonts w:hint="eastAsia"/>
          <w:color w:val="auto"/>
          <w:highlight w:val="none"/>
          <w:lang w:val="en-US" w:eastAsia="zh-CN"/>
        </w:rPr>
        <w:t xml:space="preserve">    </w:t>
      </w:r>
      <w:r>
        <w:rPr>
          <w:rFonts w:hint="eastAsia"/>
          <w:color w:val="auto"/>
          <w:highlight w:val="none"/>
        </w:rPr>
        <w:t>联系电话：</w:t>
      </w:r>
      <w:r>
        <w:rPr>
          <w:rFonts w:hint="eastAsia"/>
          <w:color w:val="auto"/>
          <w:highlight w:val="none"/>
          <w:u w:val="single"/>
          <w:lang w:val="en-US" w:eastAsia="zh-CN"/>
        </w:rPr>
        <w:t xml:space="preserve">              </w:t>
      </w:r>
      <w:r>
        <w:rPr>
          <w:rFonts w:hint="eastAsia"/>
          <w:color w:val="auto"/>
          <w:highlight w:val="none"/>
        </w:rPr>
        <w:t>  </w:t>
      </w:r>
    </w:p>
    <w:p w14:paraId="3B7F596D">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24677B52">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7B5829BD">
      <w:pPr>
        <w:rPr>
          <w:rFonts w:hint="eastAsia" w:ascii="宋体"/>
          <w:b/>
          <w:color w:val="auto"/>
          <w:sz w:val="32"/>
          <w:szCs w:val="32"/>
          <w:highlight w:val="none"/>
        </w:rPr>
      </w:pPr>
      <w:r>
        <w:rPr>
          <w:rFonts w:hint="eastAsia" w:ascii="宋体"/>
          <w:b/>
          <w:color w:val="auto"/>
          <w:sz w:val="32"/>
          <w:szCs w:val="32"/>
          <w:highlight w:val="none"/>
        </w:rPr>
        <w:br w:type="page"/>
      </w:r>
    </w:p>
    <w:p w14:paraId="578A1F8D">
      <w:pPr>
        <w:pStyle w:val="4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068250F4">
      <w:pPr>
        <w:pStyle w:val="4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8"/>
        <w:tblW w:w="89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1DCB1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14:paraId="6281C015">
            <w:pPr>
              <w:pStyle w:val="4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14:paraId="1EB05F6C">
            <w:pPr>
              <w:pStyle w:val="49"/>
              <w:jc w:val="center"/>
              <w:rPr>
                <w:rFonts w:hint="eastAsia" w:ascii="宋体" w:cs="仿宋_GB2312"/>
                <w:color w:val="auto"/>
                <w:spacing w:val="14"/>
                <w:szCs w:val="21"/>
                <w:highlight w:val="none"/>
              </w:rPr>
            </w:pPr>
          </w:p>
        </w:tc>
      </w:tr>
      <w:tr w14:paraId="238FF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14:paraId="0FD6E160">
            <w:pPr>
              <w:pStyle w:val="4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14:paraId="735ACC67">
            <w:pPr>
              <w:pStyle w:val="49"/>
              <w:jc w:val="center"/>
              <w:rPr>
                <w:rFonts w:hint="eastAsia" w:ascii="宋体" w:cs="仿宋_GB2312"/>
                <w:color w:val="auto"/>
                <w:spacing w:val="14"/>
                <w:szCs w:val="21"/>
                <w:highlight w:val="none"/>
              </w:rPr>
            </w:pPr>
          </w:p>
        </w:tc>
        <w:tc>
          <w:tcPr>
            <w:tcW w:w="1440" w:type="dxa"/>
            <w:vAlign w:val="center"/>
          </w:tcPr>
          <w:p w14:paraId="61D81305">
            <w:pPr>
              <w:pStyle w:val="4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14:paraId="5BF6DB7B">
            <w:pPr>
              <w:pStyle w:val="49"/>
              <w:jc w:val="center"/>
              <w:rPr>
                <w:rFonts w:hint="eastAsia" w:ascii="宋体" w:cs="仿宋_GB2312"/>
                <w:color w:val="auto"/>
                <w:spacing w:val="14"/>
                <w:szCs w:val="21"/>
                <w:highlight w:val="none"/>
              </w:rPr>
            </w:pPr>
          </w:p>
        </w:tc>
      </w:tr>
      <w:tr w14:paraId="67B6C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14:paraId="6013EBC6">
            <w:pPr>
              <w:pStyle w:val="4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14:paraId="022101AD">
            <w:pPr>
              <w:pStyle w:val="49"/>
              <w:jc w:val="center"/>
              <w:rPr>
                <w:rFonts w:hint="eastAsia" w:ascii="宋体" w:cs="仿宋_GB2312"/>
                <w:color w:val="auto"/>
                <w:spacing w:val="14"/>
                <w:szCs w:val="21"/>
                <w:highlight w:val="none"/>
              </w:rPr>
            </w:pPr>
          </w:p>
        </w:tc>
        <w:tc>
          <w:tcPr>
            <w:tcW w:w="1440" w:type="dxa"/>
            <w:vAlign w:val="center"/>
          </w:tcPr>
          <w:p w14:paraId="5DE3E407">
            <w:pPr>
              <w:pStyle w:val="4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14:paraId="16A2C405">
            <w:pPr>
              <w:pStyle w:val="49"/>
              <w:jc w:val="center"/>
              <w:rPr>
                <w:rFonts w:hint="eastAsia" w:ascii="宋体" w:cs="仿宋_GB2312"/>
                <w:color w:val="auto"/>
                <w:spacing w:val="14"/>
                <w:szCs w:val="21"/>
                <w:highlight w:val="none"/>
              </w:rPr>
            </w:pPr>
          </w:p>
        </w:tc>
      </w:tr>
      <w:tr w14:paraId="04C41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14:paraId="5A8751D1">
            <w:pPr>
              <w:pStyle w:val="4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14:paraId="3B114C43">
            <w:pPr>
              <w:pStyle w:val="49"/>
              <w:jc w:val="center"/>
              <w:rPr>
                <w:rFonts w:hint="eastAsia" w:ascii="宋体" w:cs="仿宋_GB2312"/>
                <w:color w:val="auto"/>
                <w:spacing w:val="14"/>
                <w:szCs w:val="21"/>
                <w:highlight w:val="none"/>
              </w:rPr>
            </w:pPr>
          </w:p>
        </w:tc>
        <w:tc>
          <w:tcPr>
            <w:tcW w:w="1440" w:type="dxa"/>
            <w:vAlign w:val="center"/>
          </w:tcPr>
          <w:p w14:paraId="3917BA91">
            <w:pPr>
              <w:pStyle w:val="4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14:paraId="16882C61">
            <w:pPr>
              <w:pStyle w:val="49"/>
              <w:jc w:val="center"/>
              <w:rPr>
                <w:rFonts w:hint="eastAsia" w:ascii="宋体" w:cs="仿宋_GB2312"/>
                <w:color w:val="auto"/>
                <w:spacing w:val="14"/>
                <w:szCs w:val="21"/>
                <w:highlight w:val="none"/>
              </w:rPr>
            </w:pPr>
          </w:p>
        </w:tc>
      </w:tr>
      <w:tr w14:paraId="73A65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14:paraId="5F7352B4">
            <w:pPr>
              <w:pStyle w:val="4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14:paraId="176DDDFC">
            <w:pPr>
              <w:pStyle w:val="49"/>
              <w:jc w:val="center"/>
              <w:rPr>
                <w:rFonts w:hint="eastAsia" w:ascii="宋体" w:cs="仿宋_GB2312"/>
                <w:color w:val="auto"/>
                <w:spacing w:val="14"/>
                <w:szCs w:val="21"/>
                <w:highlight w:val="none"/>
              </w:rPr>
            </w:pPr>
          </w:p>
        </w:tc>
        <w:tc>
          <w:tcPr>
            <w:tcW w:w="1440" w:type="dxa"/>
            <w:vAlign w:val="center"/>
          </w:tcPr>
          <w:p w14:paraId="2DEBAFD4">
            <w:pPr>
              <w:pStyle w:val="4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14:paraId="0B020BD7">
            <w:pPr>
              <w:pStyle w:val="49"/>
              <w:jc w:val="center"/>
              <w:rPr>
                <w:rFonts w:hint="eastAsia" w:ascii="宋体" w:cs="仿宋_GB2312"/>
                <w:color w:val="auto"/>
                <w:spacing w:val="14"/>
                <w:szCs w:val="21"/>
                <w:highlight w:val="none"/>
              </w:rPr>
            </w:pPr>
          </w:p>
        </w:tc>
      </w:tr>
      <w:tr w14:paraId="6A7D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vAlign w:val="top"/>
          </w:tcPr>
          <w:p w14:paraId="089E323B">
            <w:pPr>
              <w:pStyle w:val="49"/>
              <w:rPr>
                <w:rFonts w:hint="eastAsia" w:ascii="宋体" w:cs="仿宋_GB2312"/>
                <w:color w:val="auto"/>
                <w:spacing w:val="14"/>
                <w:szCs w:val="21"/>
                <w:highlight w:val="none"/>
              </w:rPr>
            </w:pPr>
          </w:p>
          <w:p w14:paraId="30BA258A">
            <w:pPr>
              <w:pStyle w:val="4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13B3F7FA">
      <w:pPr>
        <w:pStyle w:val="49"/>
        <w:rPr>
          <w:rFonts w:hint="eastAsia" w:ascii="宋体" w:cs="仿宋_GB2312"/>
          <w:color w:val="auto"/>
          <w:spacing w:val="14"/>
          <w:sz w:val="24"/>
          <w:highlight w:val="none"/>
        </w:rPr>
      </w:pPr>
    </w:p>
    <w:p w14:paraId="19A12B3B">
      <w:pPr>
        <w:pStyle w:val="49"/>
        <w:autoSpaceDE w:val="0"/>
        <w:autoSpaceDN w:val="0"/>
        <w:snapToGri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比选</w:t>
      </w:r>
      <w:r>
        <w:rPr>
          <w:rFonts w:hint="eastAsia" w:ascii="宋体" w:hAnsi="宋体" w:eastAsia="宋体" w:cs="宋体"/>
          <w:color w:val="auto"/>
          <w:sz w:val="24"/>
          <w:highlight w:val="none"/>
        </w:rPr>
        <w:t>申请人：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pacing w:val="14"/>
          <w:sz w:val="24"/>
          <w:highlight w:val="none"/>
        </w:rPr>
        <w:t>（</w:t>
      </w:r>
      <w:r>
        <w:rPr>
          <w:rFonts w:hint="eastAsia" w:ascii="宋体" w:hAnsi="宋体" w:eastAsia="宋体" w:cs="宋体"/>
          <w:i/>
          <w:color w:val="auto"/>
          <w:spacing w:val="14"/>
          <w:sz w:val="24"/>
          <w:highlight w:val="none"/>
        </w:rPr>
        <w:t>盖单位公章</w:t>
      </w:r>
      <w:r>
        <w:rPr>
          <w:rFonts w:hint="eastAsia" w:ascii="宋体" w:hAnsi="宋体" w:eastAsia="宋体" w:cs="宋体"/>
          <w:color w:val="auto"/>
          <w:spacing w:val="14"/>
          <w:sz w:val="24"/>
          <w:highlight w:val="none"/>
        </w:rPr>
        <w:t>）</w:t>
      </w:r>
    </w:p>
    <w:p w14:paraId="7EF05EB5">
      <w:pPr>
        <w:pStyle w:val="49"/>
        <w:autoSpaceDE w:val="0"/>
        <w:autoSpaceDN w:val="0"/>
        <w:snapToGrid w:val="0"/>
        <w:spacing w:line="360" w:lineRule="auto"/>
        <w:rPr>
          <w:rFonts w:hint="eastAsia" w:ascii="宋体" w:hAnsi="宋体" w:eastAsia="宋体" w:cs="宋体"/>
          <w:color w:val="auto"/>
          <w:spacing w:val="11"/>
          <w:sz w:val="24"/>
          <w:highlight w:val="none"/>
          <w:u w:val="none"/>
        </w:rPr>
      </w:pPr>
      <w:r>
        <w:rPr>
          <w:rFonts w:hint="eastAsia" w:ascii="宋体" w:hAnsi="宋体" w:eastAsia="宋体" w:cs="宋体"/>
          <w:color w:val="auto"/>
          <w:sz w:val="24"/>
          <w:highlight w:val="none"/>
        </w:rPr>
        <w:t xml:space="preserve">      法定代表人或</w:t>
      </w:r>
      <w:r>
        <w:rPr>
          <w:rFonts w:hint="eastAsia" w:ascii="宋体" w:hAnsi="宋体" w:eastAsia="宋体" w:cs="宋体"/>
          <w:color w:val="auto"/>
          <w:sz w:val="24"/>
          <w:highlight w:val="none"/>
          <w:lang w:eastAsia="zh-CN"/>
        </w:rPr>
        <w:t>其委托代理人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w:t>
      </w:r>
      <w:r>
        <w:rPr>
          <w:rFonts w:hint="eastAsia" w:ascii="宋体" w:hAnsi="宋体" w:eastAsia="宋体" w:cs="宋体"/>
          <w:i/>
          <w:color w:val="auto"/>
          <w:sz w:val="24"/>
          <w:highlight w:val="none"/>
          <w:u w:val="none"/>
        </w:rPr>
        <w:t>签字或盖章</w:t>
      </w:r>
      <w:r>
        <w:rPr>
          <w:rFonts w:hint="eastAsia" w:ascii="宋体" w:hAnsi="宋体" w:eastAsia="宋体" w:cs="宋体"/>
          <w:color w:val="auto"/>
          <w:sz w:val="24"/>
          <w:highlight w:val="none"/>
          <w:u w:val="none"/>
        </w:rPr>
        <w:t>）</w:t>
      </w:r>
    </w:p>
    <w:p w14:paraId="35B8F467">
      <w:pPr>
        <w:pStyle w:val="49"/>
        <w:autoSpaceDE w:val="0"/>
        <w:autoSpaceDN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09E89B06">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w:t>
      </w:r>
    </w:p>
    <w:p w14:paraId="1FE6F8F5">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注：</w:t>
      </w:r>
    </w:p>
    <w:p w14:paraId="7E5692A0">
      <w:pPr>
        <w:pStyle w:val="5"/>
        <w:keepNext w:val="0"/>
        <w:keepLines w:val="0"/>
        <w:pageBreakBefore w:val="0"/>
        <w:widowControl w:val="0"/>
        <w:numPr>
          <w:ilvl w:val="0"/>
          <w:numId w:val="3"/>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val="0"/>
          <w:bCs/>
          <w:color w:val="auto"/>
          <w:sz w:val="22"/>
          <w:szCs w:val="22"/>
          <w:highlight w:val="none"/>
          <w:u w:val="none"/>
          <w:lang w:eastAsia="zh-CN"/>
        </w:rPr>
      </w:pPr>
      <w:r>
        <w:rPr>
          <w:rFonts w:hint="eastAsia" w:ascii="宋体" w:hAnsi="宋体" w:eastAsia="宋体" w:cs="宋体"/>
          <w:b w:val="0"/>
          <w:bCs/>
          <w:color w:val="auto"/>
          <w:sz w:val="22"/>
          <w:szCs w:val="22"/>
          <w:highlight w:val="none"/>
          <w:u w:val="none"/>
          <w:lang w:val="en-US" w:eastAsia="zh-CN"/>
        </w:rPr>
        <w:t>须附上营业执照、资质证书（如有）的复印件，并加盖单位公章</w:t>
      </w:r>
      <w:r>
        <w:rPr>
          <w:rFonts w:hint="eastAsia" w:ascii="宋体" w:hAnsi="宋体" w:eastAsia="宋体" w:cs="宋体"/>
          <w:b w:val="0"/>
          <w:bCs/>
          <w:color w:val="auto"/>
          <w:sz w:val="22"/>
          <w:szCs w:val="22"/>
          <w:highlight w:val="none"/>
          <w:u w:val="none"/>
          <w:lang w:eastAsia="zh-CN"/>
        </w:rPr>
        <w:t>；</w:t>
      </w:r>
    </w:p>
    <w:p w14:paraId="36FE9EF5">
      <w:pPr>
        <w:pStyle w:val="5"/>
        <w:keepNext w:val="0"/>
        <w:keepLines w:val="0"/>
        <w:pageBreakBefore w:val="0"/>
        <w:widowControl w:val="0"/>
        <w:numPr>
          <w:ilvl w:val="0"/>
          <w:numId w:val="3"/>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val="0"/>
          <w:bCs/>
          <w:color w:val="auto"/>
          <w:sz w:val="22"/>
          <w:szCs w:val="22"/>
          <w:highlight w:val="none"/>
          <w:u w:val="none"/>
          <w:lang w:eastAsia="zh-CN"/>
        </w:rPr>
      </w:pPr>
      <w:r>
        <w:rPr>
          <w:rFonts w:hint="eastAsia" w:ascii="宋体" w:hAnsi="宋体" w:eastAsia="宋体" w:cs="宋体"/>
          <w:b w:val="0"/>
          <w:bCs/>
          <w:color w:val="auto"/>
          <w:sz w:val="22"/>
          <w:szCs w:val="22"/>
          <w:highlight w:val="none"/>
          <w:u w:val="none"/>
          <w:lang w:val="en-US" w:eastAsia="zh-CN"/>
        </w:rPr>
        <w:t>比选申请人需提供</w:t>
      </w:r>
      <w:r>
        <w:rPr>
          <w:rFonts w:hint="eastAsia" w:ascii="宋体" w:hAnsi="宋体" w:eastAsia="宋体" w:cs="宋体"/>
          <w:b/>
          <w:bCs w:val="0"/>
          <w:color w:val="auto"/>
          <w:sz w:val="22"/>
          <w:szCs w:val="22"/>
          <w:highlight w:val="none"/>
          <w:u w:val="none"/>
          <w:lang w:val="en-US" w:eastAsia="zh-CN"/>
        </w:rPr>
        <w:t>企业与法人</w:t>
      </w:r>
      <w:r>
        <w:rPr>
          <w:rFonts w:hint="eastAsia" w:ascii="宋体" w:hAnsi="宋体" w:eastAsia="宋体" w:cs="宋体"/>
          <w:b w:val="0"/>
          <w:bCs/>
          <w:color w:val="auto"/>
          <w:sz w:val="22"/>
          <w:szCs w:val="22"/>
          <w:highlight w:val="none"/>
          <w:u w:val="none"/>
          <w:lang w:val="en-US" w:eastAsia="zh-CN"/>
        </w:rPr>
        <w:t>未被列为“失信被执行人”（全国法院失信被执行人名单信息公布与查询平台（网址：shixin.court.gov.cn））、未被工商行政管理机关列入“严重违法失信企业名单”（全国企业信用信息公示系统查询（网址：www.gsxt.gov.cn））</w:t>
      </w:r>
      <w:r>
        <w:rPr>
          <w:rFonts w:hint="eastAsia" w:ascii="宋体" w:hAnsi="宋体" w:eastAsia="宋体" w:cs="宋体"/>
          <w:b/>
          <w:bCs w:val="0"/>
          <w:color w:val="auto"/>
          <w:sz w:val="22"/>
          <w:szCs w:val="22"/>
          <w:highlight w:val="none"/>
          <w:u w:val="none"/>
          <w:lang w:val="en-US" w:eastAsia="zh-CN"/>
        </w:rPr>
        <w:t>截图证明并加盖单位公章</w:t>
      </w:r>
      <w:r>
        <w:rPr>
          <w:rFonts w:hint="eastAsia" w:ascii="宋体" w:hAnsi="宋体" w:eastAsia="宋体" w:cs="宋体"/>
          <w:b w:val="0"/>
          <w:bCs/>
          <w:color w:val="auto"/>
          <w:sz w:val="22"/>
          <w:szCs w:val="22"/>
          <w:highlight w:val="none"/>
          <w:u w:val="none"/>
          <w:lang w:val="en-US" w:eastAsia="zh-CN"/>
        </w:rPr>
        <w:t>。</w:t>
      </w:r>
    </w:p>
    <w:p w14:paraId="512F7EF1">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val="0"/>
          <w:bCs/>
          <w:color w:val="auto"/>
          <w:szCs w:val="21"/>
          <w:highlight w:val="none"/>
          <w:u w:val="none"/>
        </w:rPr>
      </w:pPr>
      <w:r>
        <w:rPr>
          <w:rFonts w:hint="eastAsia" w:ascii="宋体" w:hAnsi="宋体" w:eastAsia="宋体" w:cs="宋体"/>
          <w:b w:val="0"/>
          <w:bCs/>
          <w:color w:val="auto"/>
          <w:szCs w:val="21"/>
          <w:highlight w:val="none"/>
          <w:u w:val="none"/>
          <w:lang w:eastAsia="zh-CN"/>
        </w:rPr>
        <w:t>（</w:t>
      </w:r>
      <w:r>
        <w:rPr>
          <w:rFonts w:hint="eastAsia" w:ascii="宋体" w:hAnsi="宋体" w:eastAsia="宋体" w:cs="宋体"/>
          <w:b w:val="0"/>
          <w:bCs/>
          <w:color w:val="auto"/>
          <w:szCs w:val="21"/>
          <w:highlight w:val="none"/>
          <w:u w:val="none"/>
          <w:lang w:val="en-US" w:eastAsia="zh-CN"/>
        </w:rPr>
        <w:t>3</w:t>
      </w:r>
      <w:r>
        <w:rPr>
          <w:rFonts w:hint="eastAsia" w:ascii="宋体" w:hAnsi="宋体" w:eastAsia="宋体" w:cs="宋体"/>
          <w:b w:val="0"/>
          <w:bCs/>
          <w:color w:val="auto"/>
          <w:szCs w:val="21"/>
          <w:highlight w:val="none"/>
          <w:u w:val="none"/>
          <w:lang w:eastAsia="zh-CN"/>
        </w:rPr>
        <w:t>）</w:t>
      </w:r>
      <w:r>
        <w:rPr>
          <w:rFonts w:hint="eastAsia" w:ascii="宋体" w:hAnsi="宋体" w:eastAsia="宋体" w:cs="宋体"/>
          <w:b w:val="0"/>
          <w:bCs/>
          <w:color w:val="auto"/>
          <w:sz w:val="22"/>
          <w:szCs w:val="22"/>
          <w:highlight w:val="none"/>
          <w:u w:val="none"/>
          <w:lang w:val="en-US" w:eastAsia="zh-CN"/>
        </w:rPr>
        <w:t>上述各类证书发生变更的，应办理完变更手续方可参加比选，并以发证机关核准的变更为准；否则为证书无效进行评定</w:t>
      </w:r>
      <w:r>
        <w:rPr>
          <w:rFonts w:hint="eastAsia" w:ascii="宋体" w:hAnsi="宋体" w:eastAsia="宋体" w:cs="宋体"/>
          <w:b w:val="0"/>
          <w:bCs/>
          <w:color w:val="auto"/>
          <w:szCs w:val="21"/>
          <w:highlight w:val="none"/>
          <w:u w:val="none"/>
        </w:rPr>
        <w:t>。</w:t>
      </w:r>
    </w:p>
    <w:p w14:paraId="60366D88">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1AFA8E5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3514CAF5">
      <w:pPr>
        <w:pStyle w:val="1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62975B0A">
      <w:pPr>
        <w:pStyle w:val="15"/>
        <w:shd w:val="clear" w:color="auto" w:fill="FFFFFF"/>
        <w:spacing w:before="0" w:beforeAutospacing="0" w:after="0" w:afterAutospacing="0" w:line="560" w:lineRule="atLeast"/>
        <w:ind w:firstLine="640"/>
        <w:rPr>
          <w:color w:val="auto"/>
          <w:highlight w:val="none"/>
          <w:shd w:val="clear" w:color="auto" w:fill="FFFFFF"/>
        </w:rPr>
      </w:pPr>
    </w:p>
    <w:p w14:paraId="0CA9C196">
      <w:pPr>
        <w:pStyle w:val="1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居敬康养智能化工程施工</w:t>
      </w:r>
      <w:r>
        <w:rPr>
          <w:rFonts w:hint="eastAsia"/>
          <w:color w:val="auto"/>
          <w:highlight w:val="none"/>
        </w:rPr>
        <w:t>比选活动。代理人在比选过程中所签署的一切文件和处理与之相关的一切事务，我公司均予以承认。</w:t>
      </w:r>
    </w:p>
    <w:p w14:paraId="1BC12C2A">
      <w:pPr>
        <w:pStyle w:val="15"/>
        <w:spacing w:before="0" w:beforeAutospacing="0" w:after="0" w:afterAutospacing="0" w:line="480" w:lineRule="auto"/>
        <w:ind w:firstLine="640"/>
        <w:jc w:val="both"/>
        <w:rPr>
          <w:color w:val="auto"/>
          <w:highlight w:val="none"/>
        </w:rPr>
      </w:pPr>
      <w:r>
        <w:rPr>
          <w:rFonts w:hint="eastAsia"/>
          <w:color w:val="auto"/>
          <w:highlight w:val="none"/>
        </w:rPr>
        <w:t> </w:t>
      </w:r>
    </w:p>
    <w:p w14:paraId="5225A5AD">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30C55951">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5C13D80F">
      <w:pPr>
        <w:pStyle w:val="1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CBFFFB3">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3E93571">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02A3A1CB">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8DE91B4">
      <w:pPr>
        <w:pStyle w:val="15"/>
        <w:shd w:val="clear" w:color="auto" w:fill="FFFFFF"/>
        <w:spacing w:before="0" w:beforeAutospacing="0" w:after="0" w:afterAutospacing="0" w:line="560" w:lineRule="atLeast"/>
        <w:ind w:right="474"/>
        <w:jc w:val="right"/>
        <w:rPr>
          <w:color w:val="auto"/>
          <w:highlight w:val="none"/>
          <w:shd w:val="clear" w:color="auto" w:fill="FFFFFF"/>
        </w:rPr>
      </w:pPr>
    </w:p>
    <w:p w14:paraId="2977716B">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p w14:paraId="2116C742">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pPr>
    </w:p>
    <w:p w14:paraId="6F14A673">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pPr>
    </w:p>
    <w:p w14:paraId="672188B9">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pPr>
    </w:p>
    <w:p w14:paraId="1C0B900D">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pPr>
    </w:p>
    <w:p w14:paraId="3E1B6285">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pPr>
    </w:p>
    <w:p w14:paraId="0ACDE63A">
      <w:pPr>
        <w:pStyle w:val="15"/>
        <w:keepNext w:val="0"/>
        <w:keepLines w:val="0"/>
        <w:widowControl/>
        <w:suppressLineNumbers w:val="0"/>
        <w:spacing w:before="0" w:beforeAutospacing="1" w:after="0" w:afterAutospacing="1" w:line="360" w:lineRule="atLeast"/>
        <w:ind w:left="63" w:right="63" w:firstLine="400"/>
        <w:rPr>
          <w:rFonts w:hint="eastAsia"/>
          <w:color w:val="auto"/>
          <w:sz w:val="24"/>
          <w:szCs w:val="24"/>
          <w:highlight w:val="none"/>
          <w:u w:val="none"/>
        </w:rPr>
      </w:pPr>
    </w:p>
    <w:p w14:paraId="5143DFB9">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06199A0A">
      <w:pPr>
        <w:rPr>
          <w:color w:val="auto"/>
          <w:sz w:val="24"/>
          <w:szCs w:val="24"/>
          <w:highlight w:val="none"/>
          <w:u w:val="none"/>
        </w:rPr>
      </w:pPr>
    </w:p>
    <w:p w14:paraId="5927754E">
      <w:pPr>
        <w:pStyle w:val="1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18"/>
        <w:tblW w:w="8886" w:type="dxa"/>
        <w:jc w:val="center"/>
        <w:tblLayout w:type="fixed"/>
        <w:tblCellMar>
          <w:top w:w="0" w:type="dxa"/>
          <w:left w:w="0" w:type="dxa"/>
          <w:bottom w:w="0" w:type="dxa"/>
          <w:right w:w="0" w:type="dxa"/>
        </w:tblCellMar>
      </w:tblPr>
      <w:tblGrid>
        <w:gridCol w:w="2329"/>
        <w:gridCol w:w="6557"/>
      </w:tblGrid>
      <w:tr w14:paraId="6CB4E1E6">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74F6F400">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6557" w:type="dxa"/>
            <w:tcBorders>
              <w:top w:val="single" w:color="auto" w:sz="8" w:space="0"/>
              <w:left w:val="single" w:color="auto" w:sz="8" w:space="0"/>
              <w:bottom w:val="single" w:color="auto" w:sz="8" w:space="0"/>
              <w:right w:val="single" w:color="auto" w:sz="8" w:space="0"/>
            </w:tcBorders>
            <w:vAlign w:val="center"/>
          </w:tcPr>
          <w:p w14:paraId="143A325A">
            <w:pPr>
              <w:jc w:val="center"/>
              <w:rPr>
                <w:rFonts w:hint="eastAsia" w:ascii="宋体" w:hAnsi="宋体" w:eastAsia="宋体" w:cs="宋体"/>
                <w:color w:val="auto"/>
                <w:kern w:val="0"/>
                <w:sz w:val="24"/>
                <w:szCs w:val="24"/>
                <w:lang w:val="en-US" w:eastAsia="zh-CN" w:bidi="ar-SA"/>
              </w:rPr>
            </w:pPr>
            <w:r>
              <w:rPr>
                <w:rFonts w:hint="eastAsia" w:cs="宋体"/>
                <w:color w:val="auto"/>
                <w:sz w:val="24"/>
                <w:szCs w:val="24"/>
                <w:highlight w:val="none"/>
                <w:u w:val="none"/>
                <w:lang w:val="en-US" w:eastAsia="zh-CN"/>
              </w:rPr>
              <w:t>金澜湾展厅</w:t>
            </w:r>
            <w:r>
              <w:rPr>
                <w:rFonts w:hint="eastAsia" w:ascii="宋体" w:hAnsi="宋体" w:eastAsia="宋体" w:cs="宋体"/>
                <w:color w:val="auto"/>
                <w:kern w:val="0"/>
                <w:sz w:val="24"/>
                <w:szCs w:val="24"/>
                <w:lang w:val="en-US" w:eastAsia="zh-CN" w:bidi="ar-SA"/>
              </w:rPr>
              <w:t>智能化工程施工</w:t>
            </w:r>
          </w:p>
        </w:tc>
      </w:tr>
      <w:tr w14:paraId="768D22A6">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0A9E6C3E">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6557" w:type="dxa"/>
            <w:tcBorders>
              <w:top w:val="single" w:color="auto" w:sz="8" w:space="0"/>
              <w:left w:val="single" w:color="auto" w:sz="8" w:space="0"/>
              <w:bottom w:val="single" w:color="auto" w:sz="8" w:space="0"/>
              <w:right w:val="single" w:color="auto" w:sz="8" w:space="0"/>
            </w:tcBorders>
            <w:vAlign w:val="center"/>
          </w:tcPr>
          <w:p w14:paraId="23D74D84">
            <w:pPr>
              <w:jc w:val="center"/>
              <w:rPr>
                <w:rFonts w:hint="eastAsia" w:ascii="宋体" w:hAnsi="宋体" w:eastAsia="宋体" w:cs="宋体"/>
                <w:color w:val="auto"/>
                <w:kern w:val="0"/>
                <w:sz w:val="24"/>
                <w:szCs w:val="24"/>
                <w:lang w:val="en-US" w:eastAsia="zh-CN" w:bidi="ar-SA"/>
              </w:rPr>
            </w:pPr>
          </w:p>
        </w:tc>
      </w:tr>
      <w:tr w14:paraId="4D87D285">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7C43E9EE">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报价（不含税）</w:t>
            </w:r>
          </w:p>
        </w:tc>
        <w:tc>
          <w:tcPr>
            <w:tcW w:w="6557" w:type="dxa"/>
            <w:tcBorders>
              <w:top w:val="single" w:color="auto" w:sz="8" w:space="0"/>
              <w:left w:val="single" w:color="auto" w:sz="8" w:space="0"/>
              <w:bottom w:val="nil"/>
              <w:right w:val="single" w:color="auto" w:sz="8" w:space="0"/>
            </w:tcBorders>
            <w:vAlign w:val="center"/>
          </w:tcPr>
          <w:p w14:paraId="14CE2CDE">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r>
              <w:rPr>
                <w:rFonts w:hint="eastAsia" w:ascii="宋体" w:hAnsi="宋体"/>
                <w:color w:val="auto"/>
                <w:sz w:val="24"/>
                <w:highlight w:val="none"/>
                <w:lang w:val="en-US" w:eastAsia="zh-CN"/>
              </w:rPr>
              <w:t>（金额填写至小数点后两位）</w:t>
            </w:r>
          </w:p>
        </w:tc>
      </w:tr>
      <w:tr w14:paraId="73A1EA59">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5CBC1A6A">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6557" w:type="dxa"/>
            <w:tcBorders>
              <w:top w:val="single" w:color="auto" w:sz="8" w:space="0"/>
              <w:left w:val="single" w:color="auto" w:sz="8" w:space="0"/>
              <w:bottom w:val="nil"/>
              <w:right w:val="single" w:color="auto" w:sz="8" w:space="0"/>
            </w:tcBorders>
            <w:vAlign w:val="center"/>
          </w:tcPr>
          <w:p w14:paraId="34F2E71C">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收到比选人通知后20日历天内完成。</w:t>
            </w:r>
          </w:p>
        </w:tc>
      </w:tr>
      <w:tr w14:paraId="7145C74D">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4D0B3113">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6557" w:type="dxa"/>
            <w:tcBorders>
              <w:top w:val="single" w:color="auto" w:sz="8" w:space="0"/>
              <w:left w:val="single" w:color="auto" w:sz="8" w:space="0"/>
              <w:bottom w:val="single" w:color="auto" w:sz="8" w:space="0"/>
              <w:right w:val="single" w:color="auto" w:sz="8" w:space="0"/>
            </w:tcBorders>
            <w:vAlign w:val="center"/>
          </w:tcPr>
          <w:p w14:paraId="1F4571B1">
            <w:pPr>
              <w:jc w:val="center"/>
              <w:rPr>
                <w:rFonts w:hint="eastAsia" w:ascii="宋体" w:hAnsi="宋体" w:eastAsia="宋体" w:cs="宋体"/>
                <w:color w:val="auto"/>
                <w:kern w:val="0"/>
                <w:sz w:val="24"/>
                <w:szCs w:val="24"/>
                <w:lang w:val="en-US" w:eastAsia="zh-CN" w:bidi="ar-SA"/>
              </w:rPr>
            </w:pPr>
          </w:p>
        </w:tc>
      </w:tr>
    </w:tbl>
    <w:p w14:paraId="6889D70F">
      <w:pPr>
        <w:pStyle w:val="15"/>
        <w:spacing w:before="0" w:beforeAutospacing="0" w:after="0" w:afterAutospacing="0" w:line="480" w:lineRule="auto"/>
        <w:jc w:val="both"/>
        <w:rPr>
          <w:color w:val="auto"/>
          <w:highlight w:val="none"/>
        </w:rPr>
      </w:pPr>
    </w:p>
    <w:p w14:paraId="2F898DA3">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3E9CECE6">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0807B2E6">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925B12E">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795401A6">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235C81F7">
      <w:pPr>
        <w:pStyle w:val="8"/>
        <w:keepNext w:val="0"/>
        <w:keepLines w:val="0"/>
        <w:pageBreakBefore w:val="0"/>
        <w:widowControl w:val="0"/>
        <w:numPr>
          <w:ilvl w:val="0"/>
          <w:numId w:val="4"/>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14:paraId="2A9AB836">
      <w:pPr>
        <w:pStyle w:val="8"/>
        <w:keepNext w:val="0"/>
        <w:keepLines w:val="0"/>
        <w:pageBreakBefore w:val="0"/>
        <w:widowControl w:val="0"/>
        <w:numPr>
          <w:ilvl w:val="0"/>
          <w:numId w:val="4"/>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5F02B2C0">
      <w:pPr>
        <w:rPr>
          <w:rFonts w:hint="eastAsia"/>
          <w:color w:val="auto"/>
          <w:highlight w:val="none"/>
          <w:lang w:val="en-US" w:eastAsia="zh-CN"/>
        </w:rPr>
      </w:pPr>
    </w:p>
    <w:p w14:paraId="629BCFE3">
      <w:pPr>
        <w:rPr>
          <w:rFonts w:hint="eastAsia"/>
          <w:color w:val="auto"/>
        </w:rPr>
      </w:pPr>
    </w:p>
    <w:p w14:paraId="60BD914B">
      <w:pPr>
        <w:rPr>
          <w:rFonts w:hint="eastAsia"/>
          <w:color w:val="auto"/>
        </w:rPr>
      </w:pPr>
    </w:p>
    <w:p w14:paraId="2419C643">
      <w:pPr>
        <w:rPr>
          <w:rFonts w:hint="eastAsia"/>
          <w:color w:val="auto"/>
        </w:rPr>
      </w:pPr>
    </w:p>
    <w:p w14:paraId="248B35A3">
      <w:pPr>
        <w:rPr>
          <w:rFonts w:hint="eastAsia"/>
          <w:color w:val="auto"/>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14:paraId="31D41B80">
      <w:pPr>
        <w:rPr>
          <w:rFonts w:hint="eastAsia"/>
          <w:color w:val="auto"/>
        </w:rPr>
      </w:pPr>
    </w:p>
    <w:p w14:paraId="0DEAD9DE">
      <w:pPr>
        <w:rPr>
          <w:rFonts w:hint="eastAsia"/>
          <w:color w:val="auto"/>
        </w:rPr>
      </w:pPr>
    </w:p>
    <w:p w14:paraId="7EC44D02">
      <w:pPr>
        <w:pStyle w:val="15"/>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分项报价表</w:t>
      </w:r>
    </w:p>
    <w:tbl>
      <w:tblPr>
        <w:tblStyle w:val="18"/>
        <w:tblpPr w:leftFromText="180" w:rightFromText="180" w:vertAnchor="text" w:horzAnchor="page" w:tblpX="1440" w:tblpY="787"/>
        <w:tblOverlap w:val="never"/>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01"/>
        <w:gridCol w:w="981"/>
        <w:gridCol w:w="6900"/>
        <w:gridCol w:w="1363"/>
        <w:gridCol w:w="950"/>
        <w:gridCol w:w="1162"/>
        <w:gridCol w:w="1250"/>
        <w:gridCol w:w="25"/>
        <w:gridCol w:w="956"/>
      </w:tblGrid>
      <w:tr w14:paraId="7DC84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9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A5B074E">
            <w:pPr>
              <w:keepNext w:val="0"/>
              <w:keepLines w:val="0"/>
              <w:widowControl/>
              <w:suppressLineNumbers w:val="0"/>
              <w:jc w:val="center"/>
              <w:textAlignment w:val="center"/>
              <w:rPr>
                <w:rFonts w:hint="eastAsia" w:ascii="宋体" w:hAnsi="宋体" w:eastAsia="宋体" w:cs="宋体"/>
                <w:b/>
                <w:i w:val="0"/>
                <w:color w:val="000000"/>
                <w:sz w:val="44"/>
                <w:szCs w:val="44"/>
                <w:u w:val="none"/>
              </w:rPr>
            </w:pPr>
            <w:r>
              <w:rPr>
                <w:rFonts w:hint="eastAsia" w:ascii="宋体" w:hAnsi="宋体" w:eastAsia="宋体" w:cs="宋体"/>
                <w:b/>
                <w:i w:val="0"/>
                <w:color w:val="000000"/>
                <w:kern w:val="0"/>
                <w:sz w:val="44"/>
                <w:szCs w:val="44"/>
                <w:u w:val="none"/>
                <w:lang w:val="en-US" w:eastAsia="zh-CN" w:bidi="ar"/>
              </w:rPr>
              <w:t>金澜湾展厅</w:t>
            </w:r>
            <w:bookmarkStart w:id="0" w:name="_GoBack"/>
            <w:bookmarkEnd w:id="0"/>
            <w:r>
              <w:rPr>
                <w:rFonts w:hint="eastAsia" w:ascii="宋体" w:hAnsi="宋体" w:eastAsia="宋体" w:cs="宋体"/>
                <w:b/>
                <w:i w:val="0"/>
                <w:color w:val="000000"/>
                <w:kern w:val="0"/>
                <w:sz w:val="44"/>
                <w:szCs w:val="44"/>
                <w:u w:val="none"/>
                <w:lang w:val="en-US" w:eastAsia="zh-CN" w:bidi="ar"/>
              </w:rPr>
              <w:t>智能化清单</w:t>
            </w:r>
          </w:p>
        </w:tc>
      </w:tr>
      <w:tr w14:paraId="73C9A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9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4A1B838">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一、拼接屏系统</w:t>
            </w:r>
          </w:p>
        </w:tc>
      </w:tr>
      <w:tr w14:paraId="6D6C1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90"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045A">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D0780">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名称型号</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D9844">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项目特征</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01636">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1D3E8">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单位</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69502">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不含税单价（元）</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46A528">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不含税合价（元）</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B0470">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推荐品牌</w:t>
            </w:r>
          </w:p>
        </w:tc>
      </w:tr>
      <w:tr w14:paraId="7F940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0"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FEFB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0F0F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65寸液晶拼接屏</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106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 采用国产全新55A+寸液晶面板， 单屏尺寸：宽1433mm,高808mm                                       2. 液晶拼接屏的拼接缝隙≤3.5mm； 3. 液晶拼接屏的高亮度≥450cd/㎡；                                         4. 液晶拼接屏的对比度≥3500 ：1；                                                      5. 液晶拼接屏的物理分辨率 ≥1920x1080；                                         6. 液晶拼接屏的信号接口输入要求：≥1路VIDEO、1路VGA、1路DVI、1路HDMI；7. 液晶拼接屏的信号接口输出要求：≥1路VIDEO；8. 智能温控功能：可自行设定风扇开启温度值、风扇关闭温度值，以有效的保证风扇使用寿命；9. 预案管理功能：≥16组大屏显示预案、矩阵联动，支持预案轮巡，方便客户管理、使用；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6.含屏幕包边；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7.含供电线路改造，长度现场踏勘，费用在此项中考虑；含大屏专用视频线缆，包括串口线、电源线、HDMI高清信号线 ，RS232控制线等；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8.含大屏拼接控制软件，费用在此项中考虑；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7.维保一年，费用在此项中考虑； </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AB71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2FF4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5CBA9">
            <w:pPr>
              <w:jc w:val="center"/>
              <w:rPr>
                <w:rFonts w:hint="eastAsia" w:ascii="宋体" w:hAnsi="宋体" w:eastAsia="宋体" w:cs="宋体"/>
                <w:i w:val="0"/>
                <w:color w:val="000000"/>
                <w:sz w:val="20"/>
                <w:szCs w:val="20"/>
                <w:u w:val="none"/>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60C34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8677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海康、瀚博伟视、华亿</w:t>
            </w:r>
          </w:p>
        </w:tc>
      </w:tr>
      <w:tr w14:paraId="11B73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0B97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1AC4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高清拼接处理器</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12EF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工业级高清矩阵处理器，输入HDMI-8路，输出HDMI-12路，可实现8路高清信号在12台拼接屏上任意切换，任意拼接显示。</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11D5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F2D1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39B4C">
            <w:pPr>
              <w:jc w:val="center"/>
              <w:rPr>
                <w:rFonts w:hint="eastAsia" w:ascii="宋体" w:hAnsi="宋体" w:eastAsia="宋体" w:cs="宋体"/>
                <w:i w:val="0"/>
                <w:color w:val="000000"/>
                <w:sz w:val="20"/>
                <w:szCs w:val="20"/>
                <w:u w:val="none"/>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C2445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51B5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海康、瀚博伟视、华亿</w:t>
            </w:r>
          </w:p>
        </w:tc>
      </w:tr>
      <w:tr w14:paraId="4CDB1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70D4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B45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单排落地支架</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D165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65寸专用定制落地支架3行4列，方便运输，结构设计合理，可根据现场环境上下，左右，前后全方位微调。</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94FC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CF0D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EE5E">
            <w:pPr>
              <w:jc w:val="center"/>
              <w:rPr>
                <w:rFonts w:hint="eastAsia" w:ascii="宋体" w:hAnsi="宋体" w:eastAsia="宋体" w:cs="宋体"/>
                <w:i w:val="0"/>
                <w:color w:val="000000"/>
                <w:sz w:val="20"/>
                <w:szCs w:val="20"/>
                <w:u w:val="none"/>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20FBF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CF49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海康、瀚博伟视、华亿</w:t>
            </w:r>
          </w:p>
        </w:tc>
      </w:tr>
      <w:tr w14:paraId="4265B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9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BC408E3">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二、无线WIF系统</w:t>
            </w:r>
          </w:p>
        </w:tc>
      </w:tr>
      <w:tr w14:paraId="5688B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920"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A5ED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AF91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网关</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581F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1.固化8个千兆电口，2个千兆光口，标准1U设备，推荐带机终端400台，支持家宽场景的会话+流量综合负载均衡、内置状态检测防火墙，支持酒店投屏、支持Easy/IPsec/SSL VPN，酒店投屏数200、IPsec VPN服务端支持并发隧道数400、SSL VPN服务端支持并发隧道数100，支持Web认证、本地服务器认证，支持应用流控、支持整网管理应用会话抑制、应用流控、应用控制、URL阻断，支持应用路由、策略路由等多类型路由，支持睿易MACC云平台与睿易APP管理。IPTV支持(不支持做IPTV网关，仅支持IPTV报文转发)；带宽叠加支持(支持聚合接口和负载均衡方式提升带宽)；2.含安装设备、调试、维保一年等为完成安装所需的一切费用。</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A9DD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5CAF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646AA">
            <w:pPr>
              <w:jc w:val="center"/>
              <w:rPr>
                <w:rFonts w:hint="eastAsia" w:ascii="宋体" w:hAnsi="宋体" w:eastAsia="宋体" w:cs="宋体"/>
                <w:i w:val="0"/>
                <w:color w:val="000000"/>
                <w:sz w:val="20"/>
                <w:szCs w:val="20"/>
                <w:u w:val="none"/>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C284B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9384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锐捷、华为、福润耐特</w:t>
            </w:r>
          </w:p>
        </w:tc>
      </w:tr>
      <w:tr w14:paraId="48F78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A127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B6AA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POE交换机</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0E77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个10/100/1000Mbps自适应电口+2个10/100/1000Mbps自适应上联电口+2个1000Mbps上联SFP光口，其中24个口支持PoE/PoE+供电，整机最大PoE输出功率370W，交换容量336Gbps，包转发率92Mpps，网管型交换机，金属外壳，6kV防雷，机架式；2.含安装设备、调试、维保一年等为完成安装所需的一切费用。</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B73F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7E31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A1A9A">
            <w:pPr>
              <w:jc w:val="center"/>
              <w:rPr>
                <w:rFonts w:hint="eastAsia" w:ascii="宋体" w:hAnsi="宋体" w:eastAsia="宋体" w:cs="宋体"/>
                <w:i w:val="0"/>
                <w:color w:val="000000"/>
                <w:sz w:val="20"/>
                <w:szCs w:val="20"/>
                <w:u w:val="none"/>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866BE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CED2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锐捷、华为、福润耐特</w:t>
            </w:r>
          </w:p>
        </w:tc>
      </w:tr>
      <w:tr w14:paraId="16C96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575"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A7A5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FD5C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吸顶AP  </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BBD1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1.固定端口 1个10M/100M/1000M电口，支持PoE供电；传输协议 支持5GHz：802.11ax/a/n/ac和</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2.4GHz：802.11ax/b/g/n同时工作；工作频段  2.4GHz：2.4 ~ 2.483GHz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5GHz：5.150-5.350GHz，5.725-5.850 GHz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传输速率 2.4G提供最高提供574Mbps的接入速率，5G提供最高提供2402Mbps的接入速率。整机提供2976Mbps的接入速率。整机支持4条空间流；2.4GHz：2x2，MIMO；5GHz：2x2，MIMO 带机数 整机推荐无线接入终端数80台；2.含安装设备、调试、维保一年等为完成安装所需的一切费用。</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8A9B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1DE4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E95AA">
            <w:pPr>
              <w:jc w:val="center"/>
              <w:rPr>
                <w:rFonts w:hint="eastAsia" w:ascii="宋体" w:hAnsi="宋体" w:eastAsia="宋体" w:cs="宋体"/>
                <w:i w:val="0"/>
                <w:color w:val="000000"/>
                <w:sz w:val="20"/>
                <w:szCs w:val="20"/>
                <w:u w:val="none"/>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B5754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6FA9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锐捷、华为、福润耐特</w:t>
            </w:r>
          </w:p>
        </w:tc>
      </w:tr>
      <w:tr w14:paraId="5D58D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C61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2184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六类网线安装</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A381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含布线、布管等为完成安装所需的一切费用。</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D63E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592F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1FB0F">
            <w:pPr>
              <w:jc w:val="center"/>
              <w:rPr>
                <w:rFonts w:hint="eastAsia" w:ascii="宋体" w:hAnsi="宋体" w:eastAsia="宋体" w:cs="宋体"/>
                <w:i w:val="0"/>
                <w:color w:val="000000"/>
                <w:sz w:val="20"/>
                <w:szCs w:val="20"/>
                <w:u w:val="none"/>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867A2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DF224">
            <w:pPr>
              <w:jc w:val="center"/>
              <w:rPr>
                <w:rFonts w:hint="eastAsia" w:ascii="宋体" w:hAnsi="宋体" w:eastAsia="宋体" w:cs="宋体"/>
                <w:i w:val="0"/>
                <w:color w:val="000000"/>
                <w:sz w:val="20"/>
                <w:szCs w:val="20"/>
                <w:u w:val="none"/>
              </w:rPr>
            </w:pPr>
          </w:p>
        </w:tc>
      </w:tr>
      <w:tr w14:paraId="59B4B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9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58F7F80">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三、监控系统</w:t>
            </w:r>
          </w:p>
        </w:tc>
      </w:tr>
      <w:tr w14:paraId="71A92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0"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2E79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4D82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摄像头</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A8C7E">
            <w:pPr>
              <w:keepNext w:val="0"/>
              <w:keepLines w:val="0"/>
              <w:widowControl/>
              <w:suppressLineNumbers w:val="0"/>
              <w:spacing w:after="200" w:afterAutospacing="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1.400万白光全彩海螺型PoE网络摄像机；人形检测、智能补光、红外30m，白光20m ；超级智能编码、高清拾音；最高分辨率可达2560×1440 @25 fps，在该分辨率下可输出实时图像；支持背光补偿，强光抑制，3D数字降噪，数字宽动态；支持人形检测；支持开放型网络视频接口，ISAPI，SDK，GB28181协议；智能补光，支持白光/红外双补光，红外最远可达30 m，白光最远可达20m；1个内置麦克风；符合IP67防尘防水设计，可靠性高视频；供电方式：DC：12 V ± 25%，支持防反接保护 PoE：IEEE 802.3af，Class 3（DV2型号不支持）；2.含安装设备、调试、维保一年等为完成安装所需的一切费用。</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7F9F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103C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1CDBB">
            <w:pPr>
              <w:jc w:val="center"/>
              <w:rPr>
                <w:rFonts w:hint="eastAsia" w:ascii="宋体" w:hAnsi="宋体" w:eastAsia="宋体" w:cs="宋体"/>
                <w:i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F7D6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D8041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海康、大华、宇视</w:t>
            </w:r>
          </w:p>
        </w:tc>
      </w:tr>
      <w:tr w14:paraId="2F703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80"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4AF2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9CFA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64路8盘位录像机</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AEAA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可接驳符合ONVIF、RTSP标准的众多主流厂商网络摄像机；支持接入H.265、Smart265、H.264、Smart264视频编码码流；解码性能强劲，最大支持12路1080P解码（开启SVC增强模式后，可提升至16路1080P解码）；支持800万像素高清网络视频的预览、存储与回放；支持HDMI与VGA同/异源输出，HDMI最大支持4K超高清显示输出，VGA支持1080P高清显示输出；自带8个SATA接口，最大支持满配10T硬盘；支持IP设备集中管理，包括IP设备一键添加、参数配置、批量升级、导入/导出等；最大支持16路本地同步回放； 针对人、车及事件类型，支持快速回放与检索功能，大幅提升录像回放和检索效率；网络接口：2个，RJ45 10M/100M/1000M自适应以太网口；串行接口：2个，RS-485半双工串行接口 1个，标准RS-232串行接口。视频接入路数：64；网络输入带宽：320Mbps；网络输出带宽：160Mps；录像分辨率：8MP/6MP/5MP/4MP/3MP/1080p/UXGA/720p/VGA/4CIF/DCIF/2CIF/CIF/QCIF</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拾音器接入路数：16路；网络广播接入路数：8路；视频输出：1路HDMI，1路VGA；HDMI输出：4K（3840*2160）/30Hz, 2K（2560*1440）/60Hz， 1920*1080/60Hz，1600*1200/60Hz，1280*1024/60Hz，1280*720/60Hz；预览分屏：1/2/4/6/8/9/16/25/36/64画面；视频解码格式：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H.265;H.264;Smart264;Smart265；解码能力：12×1080P（开启SVC增强模式后，支持16×1080P）；同步回放：16；2.含安装设备、调试、维保一年等为完成安装所需的一切费用。</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DE1F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A351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97258">
            <w:pPr>
              <w:jc w:val="center"/>
              <w:rPr>
                <w:rFonts w:hint="eastAsia" w:ascii="宋体" w:hAnsi="宋体" w:eastAsia="宋体" w:cs="宋体"/>
                <w:i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0E36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83F3F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海康、大华、宇视</w:t>
            </w:r>
          </w:p>
        </w:tc>
      </w:tr>
      <w:tr w14:paraId="1CC79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C99C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8C93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硬盘</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56C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1.8000G；2.含安装设备、调试、维保一年等为完成安装所需的一切费用。</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8ACF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D707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块</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C097B">
            <w:pPr>
              <w:jc w:val="center"/>
              <w:rPr>
                <w:rFonts w:hint="eastAsia" w:ascii="宋体" w:hAnsi="宋体" w:eastAsia="宋体" w:cs="宋体"/>
                <w:i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14BF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45D3A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海康、大华、宇视</w:t>
            </w:r>
          </w:p>
        </w:tc>
      </w:tr>
      <w:tr w14:paraId="796D9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40"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CFD9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BD58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POE交换机</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E83F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二层非网管交换机，交换容量52Gbps，包转发率39Mpps，24口10/100/1000Mbps自适应电口交换机（支持PoE/PoE+，PoE功率370W），固化2个SFP千兆光口，支持云端发现，云端查看设备状态；2.含安装设备、调试、维保一年等为完成安装所需的一切费用。</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497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BB71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B20B1">
            <w:pPr>
              <w:jc w:val="center"/>
              <w:rPr>
                <w:rFonts w:hint="eastAsia" w:ascii="宋体" w:hAnsi="宋体" w:eastAsia="宋体" w:cs="宋体"/>
                <w:i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2D56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2284C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海康、大华、锐捷</w:t>
            </w:r>
          </w:p>
        </w:tc>
      </w:tr>
      <w:tr w14:paraId="5D8EB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841B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858D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图腾墙装机柜</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6341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0.6*0.45*0.35m</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0230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8CE6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F4E4E">
            <w:pPr>
              <w:jc w:val="center"/>
              <w:rPr>
                <w:rFonts w:hint="eastAsia" w:ascii="宋体" w:hAnsi="宋体" w:eastAsia="宋体" w:cs="宋体"/>
                <w:i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E4A3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66CCA4">
            <w:pPr>
              <w:jc w:val="center"/>
              <w:rPr>
                <w:rFonts w:hint="eastAsia" w:ascii="宋体" w:hAnsi="宋体" w:eastAsia="宋体" w:cs="宋体"/>
                <w:i w:val="0"/>
                <w:color w:val="000000"/>
                <w:sz w:val="20"/>
                <w:szCs w:val="20"/>
                <w:u w:val="none"/>
              </w:rPr>
            </w:pPr>
          </w:p>
        </w:tc>
      </w:tr>
      <w:tr w14:paraId="6076F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8092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E8ED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六类网线安装</w:t>
            </w:r>
          </w:p>
        </w:tc>
        <w:tc>
          <w:tcPr>
            <w:tcW w:w="6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86AAB">
            <w:pPr>
              <w:rPr>
                <w:rFonts w:hint="eastAsia" w:ascii="宋体" w:hAnsi="宋体" w:eastAsia="宋体" w:cs="宋体"/>
                <w:i w:val="0"/>
                <w:color w:val="000000"/>
                <w:sz w:val="20"/>
                <w:szCs w:val="20"/>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8ABB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9F71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米</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DE8AF">
            <w:pPr>
              <w:jc w:val="center"/>
              <w:rPr>
                <w:rFonts w:hint="eastAsia" w:ascii="宋体" w:hAnsi="宋体" w:eastAsia="宋体" w:cs="宋体"/>
                <w:i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5BB2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49006A">
            <w:pPr>
              <w:jc w:val="center"/>
              <w:rPr>
                <w:rFonts w:hint="eastAsia" w:ascii="宋体" w:hAnsi="宋体" w:eastAsia="宋体" w:cs="宋体"/>
                <w:i w:val="0"/>
                <w:color w:val="000000"/>
                <w:sz w:val="20"/>
                <w:szCs w:val="20"/>
                <w:u w:val="none"/>
              </w:rPr>
            </w:pPr>
          </w:p>
        </w:tc>
      </w:tr>
      <w:tr w14:paraId="6B974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5" w:hRule="atLeast"/>
        </w:trPr>
        <w:tc>
          <w:tcPr>
            <w:tcW w:w="82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B8C7D0">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不含税总价（元）</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3F21A">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1965E">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BA082">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639F6">
            <w:pPr>
              <w:keepNext w:val="0"/>
              <w:keepLines w:val="0"/>
              <w:widowControl/>
              <w:suppressLineNumbers w:val="0"/>
              <w:jc w:val="center"/>
              <w:textAlignment w:val="center"/>
              <w:rPr>
                <w:rFonts w:hint="eastAsia" w:ascii="宋体" w:hAnsi="宋体" w:eastAsia="宋体" w:cs="宋体"/>
                <w:b/>
                <w:i w:val="0"/>
                <w:color w:val="000000"/>
                <w:sz w:val="20"/>
                <w:szCs w:val="20"/>
                <w:u w:val="none"/>
              </w:rPr>
            </w:pP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58F2C9">
            <w:pPr>
              <w:rPr>
                <w:rFonts w:hint="eastAsia" w:ascii="宋体" w:hAnsi="宋体" w:eastAsia="宋体" w:cs="宋体"/>
                <w:i w:val="0"/>
                <w:color w:val="000000"/>
                <w:sz w:val="20"/>
                <w:szCs w:val="20"/>
                <w:u w:val="none"/>
              </w:rPr>
            </w:pPr>
          </w:p>
        </w:tc>
      </w:tr>
    </w:tbl>
    <w:p w14:paraId="60A480E3">
      <w:pPr>
        <w:rPr>
          <w:rFonts w:hint="eastAsia"/>
          <w:color w:val="auto"/>
        </w:rPr>
      </w:pPr>
    </w:p>
    <w:sectPr>
      <w:pgSz w:w="16838" w:h="11906" w:orient="landscape"/>
      <w:pgMar w:top="1080" w:right="1440" w:bottom="108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5E873">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1F66BEE">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1F66BEE">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C23A">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E5552555"/>
    <w:multiLevelType w:val="singleLevel"/>
    <w:tmpl w:val="E5552555"/>
    <w:lvl w:ilvl="0" w:tentative="0">
      <w:start w:val="2"/>
      <w:numFmt w:val="chineseCounting"/>
      <w:suff w:val="nothing"/>
      <w:lvlText w:val="%1、"/>
      <w:lvlJc w:val="left"/>
      <w:rPr>
        <w:rFonts w:hint="eastAsia"/>
      </w:rPr>
    </w:lvl>
  </w:abstractNum>
  <w:abstractNum w:abstractNumId="2">
    <w:nsid w:val="6565A618"/>
    <w:multiLevelType w:val="singleLevel"/>
    <w:tmpl w:val="6565A618"/>
    <w:lvl w:ilvl="0" w:tentative="0">
      <w:start w:val="1"/>
      <w:numFmt w:val="decimal"/>
      <w:suff w:val="nothing"/>
      <w:lvlText w:val="（%1）"/>
      <w:lvlJc w:val="left"/>
    </w:lvl>
  </w:abstractNum>
  <w:abstractNum w:abstractNumId="3">
    <w:nsid w:val="7890FB22"/>
    <w:multiLevelType w:val="singleLevel"/>
    <w:tmpl w:val="7890FB22"/>
    <w:lvl w:ilvl="0" w:tentative="0">
      <w:start w:val="1"/>
      <w:numFmt w:val="decimal"/>
      <w:lvlText w:val="%1."/>
      <w:lvlJc w:val="left"/>
      <w:pPr>
        <w:tabs>
          <w:tab w:val="left" w:pos="312"/>
        </w:tabs>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C3EAB"/>
    <w:rsid w:val="009F4AF4"/>
    <w:rsid w:val="00A00CCF"/>
    <w:rsid w:val="00A22376"/>
    <w:rsid w:val="00A31073"/>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E03143"/>
    <w:rsid w:val="00E03871"/>
    <w:rsid w:val="00E34258"/>
    <w:rsid w:val="00E77541"/>
    <w:rsid w:val="00ED3D2E"/>
    <w:rsid w:val="00EE269B"/>
    <w:rsid w:val="00F02D38"/>
    <w:rsid w:val="00F87A02"/>
    <w:rsid w:val="00F92599"/>
    <w:rsid w:val="00FB0668"/>
    <w:rsid w:val="00FD0DBA"/>
    <w:rsid w:val="00FE7C59"/>
    <w:rsid w:val="00FF5113"/>
    <w:rsid w:val="00FF7D58"/>
    <w:rsid w:val="01573C51"/>
    <w:rsid w:val="01983D30"/>
    <w:rsid w:val="026517EB"/>
    <w:rsid w:val="02C76577"/>
    <w:rsid w:val="040F5693"/>
    <w:rsid w:val="048B68BE"/>
    <w:rsid w:val="04ED380D"/>
    <w:rsid w:val="05D20B0D"/>
    <w:rsid w:val="066E1DCB"/>
    <w:rsid w:val="0754600F"/>
    <w:rsid w:val="07EB10F5"/>
    <w:rsid w:val="083E084B"/>
    <w:rsid w:val="085728AF"/>
    <w:rsid w:val="08872182"/>
    <w:rsid w:val="090511BD"/>
    <w:rsid w:val="09542145"/>
    <w:rsid w:val="09B446FC"/>
    <w:rsid w:val="09E2517C"/>
    <w:rsid w:val="0A305E02"/>
    <w:rsid w:val="0AA73876"/>
    <w:rsid w:val="0B60187B"/>
    <w:rsid w:val="0BF952DC"/>
    <w:rsid w:val="0C9B273C"/>
    <w:rsid w:val="0E4A75B0"/>
    <w:rsid w:val="0E4B355A"/>
    <w:rsid w:val="0F0715E2"/>
    <w:rsid w:val="0F875971"/>
    <w:rsid w:val="10615B33"/>
    <w:rsid w:val="10857B8E"/>
    <w:rsid w:val="11853D3E"/>
    <w:rsid w:val="1281092F"/>
    <w:rsid w:val="137F4296"/>
    <w:rsid w:val="13A05904"/>
    <w:rsid w:val="15CC7688"/>
    <w:rsid w:val="15CD72AC"/>
    <w:rsid w:val="164E4263"/>
    <w:rsid w:val="17350D9E"/>
    <w:rsid w:val="17ED18D3"/>
    <w:rsid w:val="18641DA2"/>
    <w:rsid w:val="19F00E30"/>
    <w:rsid w:val="1BD85EAD"/>
    <w:rsid w:val="1C355BA8"/>
    <w:rsid w:val="1C420FD5"/>
    <w:rsid w:val="1CDB2579"/>
    <w:rsid w:val="1D5A4A50"/>
    <w:rsid w:val="1D7B3892"/>
    <w:rsid w:val="1F1A04DE"/>
    <w:rsid w:val="1FB12795"/>
    <w:rsid w:val="20B5410E"/>
    <w:rsid w:val="213328FA"/>
    <w:rsid w:val="22256FC9"/>
    <w:rsid w:val="22837B15"/>
    <w:rsid w:val="23D408C6"/>
    <w:rsid w:val="23DC6E7B"/>
    <w:rsid w:val="25CE327D"/>
    <w:rsid w:val="26824487"/>
    <w:rsid w:val="269B185D"/>
    <w:rsid w:val="2890022F"/>
    <w:rsid w:val="28BE6159"/>
    <w:rsid w:val="28EC52C5"/>
    <w:rsid w:val="29EF14AD"/>
    <w:rsid w:val="2A705FFA"/>
    <w:rsid w:val="2B1D3BDB"/>
    <w:rsid w:val="2B5F657F"/>
    <w:rsid w:val="2C4B08A3"/>
    <w:rsid w:val="2CD55510"/>
    <w:rsid w:val="2D7C3427"/>
    <w:rsid w:val="2EF1598B"/>
    <w:rsid w:val="2F634EE2"/>
    <w:rsid w:val="2FC00212"/>
    <w:rsid w:val="30BB1E83"/>
    <w:rsid w:val="30E4079A"/>
    <w:rsid w:val="31A579E7"/>
    <w:rsid w:val="32396F25"/>
    <w:rsid w:val="32537C5D"/>
    <w:rsid w:val="337F0F1C"/>
    <w:rsid w:val="35C80E21"/>
    <w:rsid w:val="36000FDB"/>
    <w:rsid w:val="36273670"/>
    <w:rsid w:val="367A4A92"/>
    <w:rsid w:val="36E07893"/>
    <w:rsid w:val="372C24FB"/>
    <w:rsid w:val="37466809"/>
    <w:rsid w:val="37DB262D"/>
    <w:rsid w:val="384A5F26"/>
    <w:rsid w:val="38624B2C"/>
    <w:rsid w:val="388A2D94"/>
    <w:rsid w:val="38BF22A9"/>
    <w:rsid w:val="38CE2BD5"/>
    <w:rsid w:val="38E5481F"/>
    <w:rsid w:val="39992D4F"/>
    <w:rsid w:val="3B8B6671"/>
    <w:rsid w:val="3C4B6C3F"/>
    <w:rsid w:val="3D807BF4"/>
    <w:rsid w:val="3E057757"/>
    <w:rsid w:val="3EB66CCD"/>
    <w:rsid w:val="3ED52753"/>
    <w:rsid w:val="3F826E18"/>
    <w:rsid w:val="402D47C9"/>
    <w:rsid w:val="415E7BFF"/>
    <w:rsid w:val="434F03DE"/>
    <w:rsid w:val="46101F3F"/>
    <w:rsid w:val="46F71824"/>
    <w:rsid w:val="47415DF9"/>
    <w:rsid w:val="483213AD"/>
    <w:rsid w:val="484256D6"/>
    <w:rsid w:val="48885DB2"/>
    <w:rsid w:val="494B3E8B"/>
    <w:rsid w:val="4AB93531"/>
    <w:rsid w:val="4ACC6915"/>
    <w:rsid w:val="4C657056"/>
    <w:rsid w:val="4D5F2D35"/>
    <w:rsid w:val="4D766398"/>
    <w:rsid w:val="4D7A44C1"/>
    <w:rsid w:val="4E010DC6"/>
    <w:rsid w:val="4E5A7C30"/>
    <w:rsid w:val="4E9C24FE"/>
    <w:rsid w:val="4EC024EA"/>
    <w:rsid w:val="4ED225C5"/>
    <w:rsid w:val="4FD2359B"/>
    <w:rsid w:val="50674285"/>
    <w:rsid w:val="5069710A"/>
    <w:rsid w:val="50A4750D"/>
    <w:rsid w:val="50FE0569"/>
    <w:rsid w:val="51510BE7"/>
    <w:rsid w:val="51592A60"/>
    <w:rsid w:val="5254404C"/>
    <w:rsid w:val="54AC77F1"/>
    <w:rsid w:val="55396617"/>
    <w:rsid w:val="55F459D8"/>
    <w:rsid w:val="56771FE4"/>
    <w:rsid w:val="574716A2"/>
    <w:rsid w:val="576A2D9C"/>
    <w:rsid w:val="58071B12"/>
    <w:rsid w:val="58B513C4"/>
    <w:rsid w:val="58E3423C"/>
    <w:rsid w:val="59E85D72"/>
    <w:rsid w:val="5A1E693A"/>
    <w:rsid w:val="5B81355C"/>
    <w:rsid w:val="5C145564"/>
    <w:rsid w:val="5C3D6970"/>
    <w:rsid w:val="5D487528"/>
    <w:rsid w:val="5D6B4E4A"/>
    <w:rsid w:val="5E64494E"/>
    <w:rsid w:val="5E9A43BF"/>
    <w:rsid w:val="5F627ECE"/>
    <w:rsid w:val="5F9A2153"/>
    <w:rsid w:val="60BB5DFC"/>
    <w:rsid w:val="60F74DA0"/>
    <w:rsid w:val="61245746"/>
    <w:rsid w:val="61E91312"/>
    <w:rsid w:val="62EF6B8B"/>
    <w:rsid w:val="633F33D0"/>
    <w:rsid w:val="634342A2"/>
    <w:rsid w:val="638F06B9"/>
    <w:rsid w:val="63A937FE"/>
    <w:rsid w:val="647F12C0"/>
    <w:rsid w:val="64EE72F7"/>
    <w:rsid w:val="654E3081"/>
    <w:rsid w:val="670A01AB"/>
    <w:rsid w:val="68205F11"/>
    <w:rsid w:val="6826671D"/>
    <w:rsid w:val="689B2842"/>
    <w:rsid w:val="692929C9"/>
    <w:rsid w:val="6949691B"/>
    <w:rsid w:val="6B3F31FC"/>
    <w:rsid w:val="6C2F4CB4"/>
    <w:rsid w:val="6CF62D97"/>
    <w:rsid w:val="6D2A440F"/>
    <w:rsid w:val="6D975C3C"/>
    <w:rsid w:val="6DF42310"/>
    <w:rsid w:val="6F4E2668"/>
    <w:rsid w:val="70315ABC"/>
    <w:rsid w:val="70C527E2"/>
    <w:rsid w:val="70D73B74"/>
    <w:rsid w:val="71241F4D"/>
    <w:rsid w:val="71CB182F"/>
    <w:rsid w:val="722271E0"/>
    <w:rsid w:val="72911492"/>
    <w:rsid w:val="73123AD6"/>
    <w:rsid w:val="73832D6F"/>
    <w:rsid w:val="73E44370"/>
    <w:rsid w:val="74644626"/>
    <w:rsid w:val="7512724A"/>
    <w:rsid w:val="75175073"/>
    <w:rsid w:val="754B0FDA"/>
    <w:rsid w:val="75682860"/>
    <w:rsid w:val="757565AD"/>
    <w:rsid w:val="7690109D"/>
    <w:rsid w:val="78F93092"/>
    <w:rsid w:val="79E815A7"/>
    <w:rsid w:val="7A413658"/>
    <w:rsid w:val="7AAB5D93"/>
    <w:rsid w:val="7ADF3975"/>
    <w:rsid w:val="7BCB60E0"/>
    <w:rsid w:val="7BD14F61"/>
    <w:rsid w:val="7BDE5535"/>
    <w:rsid w:val="7C5A2FDE"/>
    <w:rsid w:val="7C63220F"/>
    <w:rsid w:val="7E5C7CF2"/>
    <w:rsid w:val="7EFE1A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Indent"/>
    <w:basedOn w:val="1"/>
    <w:qFormat/>
    <w:uiPriority w:val="0"/>
    <w:pPr>
      <w:spacing w:after="120" w:afterLines="0"/>
      <w:ind w:left="420" w:leftChars="200"/>
    </w:pPr>
  </w:style>
  <w:style w:type="paragraph" w:styleId="8">
    <w:name w:val="Body Text Indent 2"/>
    <w:basedOn w:val="1"/>
    <w:unhideWhenUsed/>
    <w:qFormat/>
    <w:uiPriority w:val="99"/>
    <w:pPr>
      <w:adjustRightInd w:val="0"/>
      <w:spacing w:after="120" w:line="480" w:lineRule="auto"/>
      <w:ind w:left="420"/>
      <w:textAlignment w:val="baseline"/>
    </w:pPr>
    <w:rPr>
      <w:rFonts w:ascii="Times New Roman" w:hAnsi="Times New Roman"/>
      <w:kern w:val="0"/>
      <w:sz w:val="20"/>
      <w:szCs w:val="20"/>
    </w:rPr>
  </w:style>
  <w:style w:type="paragraph" w:styleId="9">
    <w:name w:val="Balloon Text"/>
    <w:basedOn w:val="1"/>
    <w:link w:val="31"/>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黑体"/>
      <w:sz w:val="28"/>
    </w:rPr>
  </w:style>
  <w:style w:type="paragraph" w:styleId="13">
    <w:name w:val="Subtitle"/>
    <w:basedOn w:val="1"/>
    <w:next w:val="1"/>
    <w:link w:val="47"/>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46"/>
    <w:qFormat/>
    <w:uiPriority w:val="10"/>
    <w:pPr>
      <w:spacing w:before="60" w:after="60"/>
      <w:jc w:val="center"/>
      <w:outlineLvl w:val="0"/>
    </w:pPr>
    <w:rPr>
      <w:rFonts w:ascii="Cambria" w:hAnsi="Cambria" w:cs="Times New Roman"/>
      <w:b/>
      <w:bCs/>
      <w:szCs w:val="32"/>
    </w:rPr>
  </w:style>
  <w:style w:type="paragraph" w:styleId="17">
    <w:name w:val="Body Text First Indent 2"/>
    <w:basedOn w:val="7"/>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FollowedHyperlink"/>
    <w:basedOn w:val="20"/>
    <w:unhideWhenUsed/>
    <w:qFormat/>
    <w:uiPriority w:val="99"/>
    <w:rPr>
      <w:color w:val="525252"/>
      <w:sz w:val="27"/>
      <w:szCs w:val="27"/>
      <w:u w:val="none"/>
    </w:rPr>
  </w:style>
  <w:style w:type="character" w:styleId="22">
    <w:name w:val="Emphasis"/>
    <w:basedOn w:val="20"/>
    <w:qFormat/>
    <w:uiPriority w:val="20"/>
  </w:style>
  <w:style w:type="character" w:styleId="23">
    <w:name w:val="HTML Definition"/>
    <w:basedOn w:val="20"/>
    <w:unhideWhenUsed/>
    <w:qFormat/>
    <w:uiPriority w:val="99"/>
  </w:style>
  <w:style w:type="character" w:styleId="24">
    <w:name w:val="HTML Variable"/>
    <w:basedOn w:val="20"/>
    <w:unhideWhenUsed/>
    <w:qFormat/>
    <w:uiPriority w:val="99"/>
  </w:style>
  <w:style w:type="character" w:styleId="25">
    <w:name w:val="Hyperlink"/>
    <w:basedOn w:val="20"/>
    <w:unhideWhenUsed/>
    <w:qFormat/>
    <w:uiPriority w:val="99"/>
    <w:rPr>
      <w:color w:val="0000FF"/>
      <w:u w:val="single"/>
    </w:rPr>
  </w:style>
  <w:style w:type="character" w:styleId="26">
    <w:name w:val="HTML Code"/>
    <w:basedOn w:val="20"/>
    <w:unhideWhenUsed/>
    <w:qFormat/>
    <w:uiPriority w:val="99"/>
    <w:rPr>
      <w:rFonts w:ascii="Courier New" w:hAnsi="Courier New"/>
      <w:sz w:val="20"/>
    </w:rPr>
  </w:style>
  <w:style w:type="character" w:styleId="27">
    <w:name w:val="HTML Cite"/>
    <w:basedOn w:val="20"/>
    <w:unhideWhenUsed/>
    <w:qFormat/>
    <w:uiPriority w:val="99"/>
  </w:style>
  <w:style w:type="character" w:customStyle="1" w:styleId="28">
    <w:name w:val="页眉 Char"/>
    <w:basedOn w:val="20"/>
    <w:link w:val="11"/>
    <w:qFormat/>
    <w:uiPriority w:val="99"/>
    <w:rPr>
      <w:sz w:val="18"/>
      <w:szCs w:val="18"/>
    </w:rPr>
  </w:style>
  <w:style w:type="character" w:customStyle="1" w:styleId="29">
    <w:name w:val="页脚 Char"/>
    <w:basedOn w:val="20"/>
    <w:link w:val="10"/>
    <w:qFormat/>
    <w:uiPriority w:val="99"/>
    <w:rPr>
      <w:sz w:val="18"/>
      <w:szCs w:val="18"/>
    </w:rPr>
  </w:style>
  <w:style w:type="character" w:customStyle="1" w:styleId="30">
    <w:name w:val="font31"/>
    <w:basedOn w:val="20"/>
    <w:qFormat/>
    <w:uiPriority w:val="0"/>
    <w:rPr>
      <w:rFonts w:hint="eastAsia" w:ascii="宋体" w:hAnsi="宋体" w:eastAsia="宋体" w:cs="宋体"/>
      <w:color w:val="000000"/>
      <w:sz w:val="32"/>
      <w:szCs w:val="32"/>
      <w:u w:val="none"/>
    </w:rPr>
  </w:style>
  <w:style w:type="character" w:customStyle="1" w:styleId="31">
    <w:name w:val="批注框文本 Char"/>
    <w:basedOn w:val="20"/>
    <w:link w:val="9"/>
    <w:semiHidden/>
    <w:qFormat/>
    <w:uiPriority w:val="99"/>
    <w:rPr>
      <w:kern w:val="2"/>
      <w:sz w:val="18"/>
      <w:szCs w:val="18"/>
    </w:rPr>
  </w:style>
  <w:style w:type="paragraph" w:customStyle="1" w:styleId="32">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3">
    <w:name w:val="正文缩进_0"/>
    <w:basedOn w:val="32"/>
    <w:qFormat/>
    <w:uiPriority w:val="0"/>
    <w:pPr>
      <w:ind w:firstLine="420"/>
    </w:pPr>
    <w:rPr>
      <w:rFonts w:ascii="Calibri" w:hAnsi="Calibri"/>
      <w:kern w:val="2"/>
      <w:sz w:val="21"/>
    </w:rPr>
  </w:style>
  <w:style w:type="paragraph" w:customStyle="1" w:styleId="34">
    <w:name w:val="Normal_3"/>
    <w:qFormat/>
    <w:uiPriority w:val="0"/>
    <w:rPr>
      <w:rFonts w:ascii="黑体" w:hAnsi="黑体" w:eastAsia="黑体" w:cs="Times New Roman"/>
      <w:b/>
      <w:sz w:val="32"/>
      <w:szCs w:val="24"/>
      <w:lang w:val="en-US" w:eastAsia="zh-CN" w:bidi="ar-SA"/>
    </w:rPr>
  </w:style>
  <w:style w:type="paragraph" w:customStyle="1" w:styleId="35">
    <w:name w:val="List Paragraph"/>
    <w:basedOn w:val="1"/>
    <w:qFormat/>
    <w:uiPriority w:val="1"/>
    <w:pPr>
      <w:spacing w:before="152"/>
      <w:ind w:left="649" w:hanging="530"/>
    </w:pPr>
    <w:rPr>
      <w:rFonts w:ascii="等线" w:hAnsi="等线" w:eastAsia="等线" w:cs="等线"/>
      <w:lang w:val="zh-CN" w:bidi="zh-CN"/>
    </w:rPr>
  </w:style>
  <w:style w:type="paragraph" w:customStyle="1" w:styleId="36">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缩进_0_0"/>
    <w:basedOn w:val="37"/>
    <w:qFormat/>
    <w:uiPriority w:val="0"/>
    <w:pPr>
      <w:widowControl/>
      <w:ind w:firstLine="420"/>
      <w:jc w:val="left"/>
    </w:pPr>
    <w:rPr>
      <w:rFonts w:ascii="Times New Roman" w:hAnsi="Times New Roman"/>
      <w:sz w:val="20"/>
      <w:szCs w:val="24"/>
    </w:rPr>
  </w:style>
  <w:style w:type="paragraph" w:customStyle="1" w:styleId="39">
    <w:name w:val="Normal_5"/>
    <w:qFormat/>
    <w:uiPriority w:val="0"/>
    <w:rPr>
      <w:rFonts w:ascii="黑体" w:hAnsi="黑体" w:eastAsia="黑体" w:cs="Times New Roman"/>
      <w:b/>
      <w:sz w:val="32"/>
      <w:szCs w:val="24"/>
      <w:lang w:val="en-US" w:eastAsia="zh-CN" w:bidi="ar-SA"/>
    </w:rPr>
  </w:style>
  <w:style w:type="paragraph" w:customStyle="1" w:styleId="40">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缩进_2"/>
    <w:basedOn w:val="40"/>
    <w:qFormat/>
    <w:uiPriority w:val="0"/>
    <w:pPr>
      <w:widowControl/>
      <w:ind w:firstLine="420"/>
      <w:jc w:val="left"/>
    </w:pPr>
    <w:rPr>
      <w:rFonts w:ascii="Times New Roman" w:hAnsi="Times New Roman"/>
      <w:sz w:val="20"/>
      <w:szCs w:val="24"/>
    </w:rPr>
  </w:style>
  <w:style w:type="character" w:customStyle="1" w:styleId="42">
    <w:name w:val="hover5"/>
    <w:basedOn w:val="20"/>
    <w:qFormat/>
    <w:uiPriority w:val="0"/>
  </w:style>
  <w:style w:type="paragraph" w:customStyle="1" w:styleId="43">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4">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45">
    <w:name w:val="p0"/>
    <w:basedOn w:val="1"/>
    <w:qFormat/>
    <w:uiPriority w:val="0"/>
    <w:pPr>
      <w:jc w:val="both"/>
    </w:pPr>
    <w:rPr>
      <w:rFonts w:ascii="Times New Roman" w:hAnsi="Times New Roman" w:cs="Times New Roman"/>
      <w:sz w:val="21"/>
      <w:szCs w:val="21"/>
    </w:rPr>
  </w:style>
  <w:style w:type="character" w:customStyle="1" w:styleId="46">
    <w:name w:val="标题 Char"/>
    <w:link w:val="16"/>
    <w:qFormat/>
    <w:uiPriority w:val="10"/>
    <w:rPr>
      <w:rFonts w:ascii="Cambria" w:hAnsi="Cambria" w:cs="Times New Roman"/>
      <w:b/>
      <w:bCs/>
      <w:szCs w:val="32"/>
    </w:rPr>
  </w:style>
  <w:style w:type="character" w:customStyle="1" w:styleId="47">
    <w:name w:val="副标题 Char"/>
    <w:link w:val="13"/>
    <w:qFormat/>
    <w:uiPriority w:val="11"/>
    <w:rPr>
      <w:rFonts w:ascii="Calibri Light" w:hAnsi="Calibri Light" w:cs="Times New Roman"/>
      <w:b/>
      <w:bCs/>
      <w:kern w:val="28"/>
      <w:sz w:val="32"/>
      <w:szCs w:val="32"/>
    </w:rPr>
  </w:style>
  <w:style w:type="paragraph" w:customStyle="1" w:styleId="48">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50">
    <w:name w:val="font01"/>
    <w:basedOn w:val="20"/>
    <w:qFormat/>
    <w:uiPriority w:val="0"/>
    <w:rPr>
      <w:rFonts w:hint="eastAsia" w:ascii="宋体" w:hAnsi="宋体" w:eastAsia="宋体" w:cs="宋体"/>
      <w:color w:val="000000"/>
      <w:sz w:val="24"/>
      <w:szCs w:val="24"/>
      <w:u w:val="none"/>
    </w:rPr>
  </w:style>
  <w:style w:type="character" w:customStyle="1" w:styleId="51">
    <w:name w:val="font11"/>
    <w:basedOn w:val="20"/>
    <w:uiPriority w:val="0"/>
    <w:rPr>
      <w:rFonts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4097</Words>
  <Characters>4658</Characters>
  <Lines>16</Lines>
  <Paragraphs>4</Paragraphs>
  <TotalTime>2</TotalTime>
  <ScaleCrop>false</ScaleCrop>
  <LinksUpToDate>false</LinksUpToDate>
  <CharactersWithSpaces>5200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给个萝卜吃吃</cp:lastModifiedBy>
  <cp:lastPrinted>2022-09-02T08:02:00Z</cp:lastPrinted>
  <dcterms:modified xsi:type="dcterms:W3CDTF">2025-08-01T09:59:24Z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BD5E78E2D63F47599AC251511A10B058_13</vt:lpwstr>
  </property>
  <property fmtid="{D5CDD505-2E9C-101B-9397-08002B2CF9AE}" pid="4" name="KSOTemplateDocerSaveRecord">
    <vt:lpwstr>eyJoZGlkIjoiMDUxM2RkZDZkNjNlMmRlMDU4M2NkZTM5M2U2ZDM4ZGUiLCJ1c2VySWQiOiIyODAzODE4MTcifQ==</vt:lpwstr>
  </property>
</Properties>
</file>