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5 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8 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</w:rPr>
              <w:t>日至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5 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14 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17:30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5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15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100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活鲜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color w:val="auto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HX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4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none"/>
          <w:lang w:val="en-US" w:eastAsia="zh-CN"/>
        </w:rPr>
        <w:t>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活鲜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HX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BF138A9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2024-05-08T02:04:29Z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